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宋体" w:hAnsi="宋体"/>
        </w:rPr>
      </w:pPr>
      <w:r>
        <w:rPr>
          <w:rFonts w:hint="eastAsia" w:asciiTheme="majorEastAsia" w:hAnsiTheme="majorEastAsia" w:eastAsiaTheme="majorEastAsia" w:cstheme="majorEastAsia"/>
          <w:b/>
          <w:bCs/>
          <w:sz w:val="32"/>
        </w:rPr>
        <w:t>《电路原理》课程教学大纲</w:t>
      </w:r>
    </w:p>
    <w:p>
      <w:pPr>
        <w:spacing w:line="420" w:lineRule="exact"/>
        <w:jc w:val="center"/>
        <w:rPr>
          <w:szCs w:val="21"/>
        </w:rPr>
      </w:pPr>
      <w:r>
        <w:rPr>
          <w:rFonts w:hint="eastAsia"/>
          <w:szCs w:val="21"/>
        </w:rPr>
        <w:t xml:space="preserve"> </w:t>
      </w:r>
    </w:p>
    <w:tbl>
      <w:tblPr>
        <w:tblStyle w:val="11"/>
        <w:tblW w:w="83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1443"/>
        <w:gridCol w:w="56"/>
        <w:gridCol w:w="1470"/>
        <w:gridCol w:w="1414"/>
        <w:gridCol w:w="1274"/>
        <w:gridCol w:w="13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334"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课程名称</w:t>
            </w:r>
          </w:p>
        </w:tc>
        <w:tc>
          <w:tcPr>
            <w:tcW w:w="1499"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中文</w:t>
            </w:r>
          </w:p>
        </w:tc>
        <w:tc>
          <w:tcPr>
            <w:tcW w:w="5478"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Times New Roman" w:hAnsi="宋体" w:eastAsia="宋体" w:cs="Times New Roman"/>
              </w:rPr>
              <w:t>电路原理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334"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宋体" w:hAnsi="宋体" w:eastAsia="宋体" w:cs="宋体"/>
                <w:b/>
                <w:szCs w:val="21"/>
              </w:rPr>
            </w:pPr>
          </w:p>
        </w:tc>
        <w:tc>
          <w:tcPr>
            <w:tcW w:w="14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英文</w:t>
            </w:r>
          </w:p>
        </w:tc>
        <w:tc>
          <w:tcPr>
            <w:tcW w:w="5478"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ascii="Times New Roman" w:hAnsi="Times New Roman" w:eastAsia="宋体" w:cs="Times New Roman"/>
              </w:rPr>
              <w:t>Principle of Circuit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课程代码</w:t>
            </w:r>
          </w:p>
        </w:tc>
        <w:tc>
          <w:tcPr>
            <w:tcW w:w="149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ascii="宋体" w:hAnsi="宋体" w:eastAsia="宋体" w:cs="宋体"/>
                <w:kern w:val="0"/>
                <w:szCs w:val="21"/>
              </w:rPr>
              <w:t>A31103</w:t>
            </w:r>
            <w:r>
              <w:rPr>
                <w:rFonts w:hint="eastAsia" w:ascii="宋体" w:hAnsi="宋体" w:eastAsia="宋体" w:cs="宋体"/>
                <w:kern w:val="0"/>
                <w:szCs w:val="21"/>
              </w:rPr>
              <w:t>0</w:t>
            </w:r>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开课学院/系</w:t>
            </w:r>
          </w:p>
        </w:tc>
        <w:tc>
          <w:tcPr>
            <w:tcW w:w="14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电气</w:t>
            </w:r>
            <w:r>
              <w:rPr>
                <w:rFonts w:ascii="宋体" w:hAnsi="宋体" w:eastAsia="宋体" w:cs="宋体"/>
                <w:kern w:val="0"/>
                <w:szCs w:val="21"/>
              </w:rPr>
              <w:t>信息工程学院</w:t>
            </w:r>
            <w:r>
              <w:rPr>
                <w:rFonts w:hint="eastAsia" w:ascii="宋体" w:hAnsi="宋体" w:eastAsia="宋体" w:cs="宋体"/>
                <w:kern w:val="0"/>
                <w:szCs w:val="21"/>
              </w:rPr>
              <w:t>/电子工程系</w:t>
            </w:r>
          </w:p>
        </w:tc>
        <w:tc>
          <w:tcPr>
            <w:tcW w:w="1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制定/修订</w:t>
            </w:r>
          </w:p>
          <w:p>
            <w:pPr>
              <w:jc w:val="center"/>
              <w:rPr>
                <w:rFonts w:ascii="宋体" w:hAnsi="宋体" w:eastAsia="宋体" w:cs="宋体"/>
                <w:b/>
                <w:szCs w:val="21"/>
              </w:rPr>
            </w:pPr>
            <w:r>
              <w:rPr>
                <w:rFonts w:hint="eastAsia" w:ascii="宋体" w:hAnsi="宋体" w:eastAsia="宋体" w:cs="宋体"/>
                <w:b/>
                <w:szCs w:val="21"/>
              </w:rPr>
              <w:t>时间</w:t>
            </w:r>
          </w:p>
        </w:tc>
        <w:tc>
          <w:tcPr>
            <w:tcW w:w="1320"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20</w:t>
            </w:r>
            <w:r>
              <w:rPr>
                <w:rFonts w:ascii="宋体" w:hAnsi="宋体" w:eastAsia="宋体" w:cs="宋体"/>
                <w:szCs w:val="21"/>
              </w:rPr>
              <w:t>23</w:t>
            </w:r>
            <w:r>
              <w:rPr>
                <w:rFonts w:hint="eastAsia" w:ascii="宋体" w:hAnsi="宋体" w:eastAsia="宋体" w:cs="宋体"/>
                <w:szCs w:val="21"/>
              </w:rPr>
              <w:t>.09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课程类别</w:t>
            </w:r>
          </w:p>
        </w:tc>
        <w:tc>
          <w:tcPr>
            <w:tcW w:w="1499"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宋体" w:hAnsi="宋体" w:eastAsia="宋体" w:cs="宋体"/>
                <w:b/>
                <w:kern w:val="0"/>
                <w:szCs w:val="21"/>
                <w:lang w:eastAsia="zh-CN"/>
              </w:rPr>
            </w:pPr>
            <w:r>
              <w:rPr>
                <w:rFonts w:hint="eastAsia" w:ascii="宋体" w:hAnsi="宋体" w:eastAsia="宋体" w:cs="宋体"/>
                <w:kern w:val="0"/>
                <w:szCs w:val="21"/>
                <w:lang w:eastAsia="zh-CN"/>
              </w:rPr>
              <w:t>学科专业基础</w:t>
            </w:r>
            <w:bookmarkStart w:id="0" w:name="_GoBack"/>
            <w:bookmarkEnd w:id="0"/>
          </w:p>
        </w:tc>
        <w:tc>
          <w:tcPr>
            <w:tcW w:w="147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学分</w:t>
            </w:r>
          </w:p>
        </w:tc>
        <w:tc>
          <w:tcPr>
            <w:tcW w:w="14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4.0</w:t>
            </w:r>
          </w:p>
        </w:tc>
        <w:tc>
          <w:tcPr>
            <w:tcW w:w="1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学时</w:t>
            </w:r>
          </w:p>
        </w:tc>
        <w:tc>
          <w:tcPr>
            <w:tcW w:w="1320"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适用专业</w:t>
            </w:r>
          </w:p>
        </w:tc>
        <w:tc>
          <w:tcPr>
            <w:tcW w:w="6977"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bCs/>
                <w:kern w:val="0"/>
                <w:szCs w:val="21"/>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先修课程</w:t>
            </w:r>
          </w:p>
        </w:tc>
        <w:tc>
          <w:tcPr>
            <w:tcW w:w="6977"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bCs/>
                <w:kern w:val="0"/>
                <w:szCs w:val="21"/>
              </w:rPr>
              <w:t>高等数学、大学物理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选用教材</w:t>
            </w:r>
          </w:p>
        </w:tc>
        <w:tc>
          <w:tcPr>
            <w:tcW w:w="6977"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eastAsia="宋体" w:cs="宋体"/>
                <w:bCs/>
                <w:kern w:val="0"/>
                <w:szCs w:val="21"/>
              </w:rPr>
              <w:t>包伯成，乔晓华. 工程电路分析基础（第2版）.北京：高等教育出版社，2019.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33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b/>
                <w:szCs w:val="21"/>
              </w:rPr>
            </w:pPr>
            <w:r>
              <w:rPr>
                <w:rFonts w:hint="eastAsia" w:ascii="宋体" w:hAnsi="宋体" w:cs="宋体"/>
                <w:b/>
                <w:szCs w:val="21"/>
              </w:rPr>
              <w:t>课时分配</w:t>
            </w:r>
          </w:p>
        </w:tc>
        <w:tc>
          <w:tcPr>
            <w:tcW w:w="6977"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bCs/>
                <w:kern w:val="0"/>
                <w:szCs w:val="21"/>
              </w:rPr>
            </w:pPr>
            <w:r>
              <w:rPr>
                <w:rFonts w:hint="eastAsia" w:ascii="宋体" w:hAnsi="宋体" w:cs="宋体"/>
                <w:bCs/>
                <w:kern w:val="0"/>
                <w:szCs w:val="21"/>
              </w:rPr>
              <w:t>课堂理论教学64学时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34" w:type="dxa"/>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撰写人</w:t>
            </w:r>
          </w:p>
        </w:tc>
        <w:tc>
          <w:tcPr>
            <w:tcW w:w="1443"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崔渊</w:t>
            </w:r>
          </w:p>
        </w:tc>
        <w:tc>
          <w:tcPr>
            <w:tcW w:w="1526"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审定人</w:t>
            </w:r>
          </w:p>
        </w:tc>
        <w:tc>
          <w:tcPr>
            <w:tcW w:w="1414"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高倩</w:t>
            </w:r>
          </w:p>
        </w:tc>
        <w:tc>
          <w:tcPr>
            <w:tcW w:w="1274" w:type="dxa"/>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b/>
                <w:szCs w:val="21"/>
              </w:rPr>
            </w:pPr>
            <w:r>
              <w:rPr>
                <w:rFonts w:hint="eastAsia" w:ascii="宋体" w:hAnsi="宋体" w:eastAsia="宋体" w:cs="宋体"/>
                <w:b/>
                <w:szCs w:val="21"/>
              </w:rPr>
              <w:t>批准人</w:t>
            </w:r>
          </w:p>
        </w:tc>
        <w:tc>
          <w:tcPr>
            <w:tcW w:w="1320" w:type="dxa"/>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kern w:val="0"/>
                <w:szCs w:val="21"/>
              </w:rPr>
            </w:pPr>
            <w:r>
              <w:rPr>
                <w:rFonts w:hint="eastAsia" w:ascii="宋体" w:hAnsi="宋体" w:eastAsia="宋体" w:cs="宋体"/>
                <w:kern w:val="0"/>
                <w:szCs w:val="21"/>
              </w:rPr>
              <w:t>薛波</w:t>
            </w:r>
          </w:p>
        </w:tc>
      </w:tr>
    </w:tbl>
    <w:p>
      <w:pPr>
        <w:spacing w:line="420" w:lineRule="exact"/>
        <w:jc w:val="center"/>
        <w:rPr>
          <w:szCs w:val="21"/>
        </w:rPr>
      </w:pPr>
    </w:p>
    <w:p>
      <w:pPr>
        <w:adjustRightInd w:val="0"/>
        <w:snapToGrid w:val="0"/>
        <w:spacing w:line="420" w:lineRule="exact"/>
      </w:pPr>
      <w:r>
        <w:rPr>
          <w:rFonts w:hint="eastAsia" w:asciiTheme="majorEastAsia" w:hAnsiTheme="majorEastAsia" w:eastAsiaTheme="majorEastAsia" w:cstheme="majorEastAsia"/>
          <w:b/>
          <w:bCs/>
          <w:color w:val="000000"/>
          <w:kern w:val="0"/>
          <w:sz w:val="28"/>
          <w:szCs w:val="28"/>
        </w:rPr>
        <w:t>一、课程简介</w:t>
      </w:r>
    </w:p>
    <w:p>
      <w:pPr>
        <w:adjustRightInd w:val="0"/>
        <w:snapToGrid w:val="0"/>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w:t>
      </w:r>
      <w:r>
        <w:rPr>
          <w:rFonts w:hint="eastAsia" w:ascii="宋体" w:hAnsi="Times New Roman"/>
          <w:sz w:val="24"/>
        </w:rPr>
        <w:t>电路原理</w:t>
      </w:r>
      <w:r>
        <w:rPr>
          <w:rFonts w:hint="eastAsia" w:ascii="宋体" w:hAnsi="宋体" w:eastAsia="宋体" w:cs="宋体e眠副浡渀."/>
          <w:color w:val="000000"/>
          <w:kern w:val="0"/>
          <w:sz w:val="24"/>
        </w:rPr>
        <w:t>》</w:t>
      </w:r>
      <w:r>
        <w:rPr>
          <w:rFonts w:hint="eastAsia" w:ascii="宋体" w:hAnsi="宋体" w:eastAsia="宋体" w:cs="Times New Roman"/>
          <w:sz w:val="24"/>
        </w:rPr>
        <w:t>是应用电子技术教育专业的一门学科专业基础课。本课程是以电磁现象的规律、应用和电能的传输、分配、控制及转换为研究对象，揭示电路分析的基本方法。通过本课程的学习，使学生比较系统地掌握电路的基本理论、基本知识和基本计算分析方法，受到基本技能的训练，培养学生电路分析与计算等专业能力，为深入学习专业课和工程实际应用打下坚实的基础。同时通过课程思政元素的融入，激发学生家国情怀及科技报国的责任和担当；通过授课教师的言传身教，使学生不仅掌握本课程的专业知识，更能提高其学习内在动力和积极性，培养科学思维能力、科学精神，并使学生具备一定的工程价值观与伦理观。</w:t>
      </w:r>
    </w:p>
    <w:p>
      <w:pPr>
        <w:pStyle w:val="18"/>
        <w:snapToGrid w:val="0"/>
        <w:spacing w:line="420" w:lineRule="exact"/>
        <w:jc w:val="both"/>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二、课程目标</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课程目标1：理解电路的基本概念、定律以及电路元件的工作原理和性能参数，掌握电阻电路的方程分析法、叠加分析法、等效变换法，并能灵活应用各种电路分析的基本方法，具备一定的计算能力和解题技巧；</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2：掌握正弦稳态电路、多频率激励电路以及串、并联谐振电路的变换域的基本电路分析与工程计算方法，能够对工程问题中的交流电路的工作状态进行正确的识别，并能够正确利用变换域的方法，建立电路模型进行计算和分析；</w:t>
      </w:r>
    </w:p>
    <w:p>
      <w:pPr>
        <w:spacing w:line="420" w:lineRule="exact"/>
        <w:ind w:firstLine="480" w:firstLineChars="200"/>
        <w:rPr>
          <w:rFonts w:ascii="宋体" w:hAnsi="宋体" w:eastAsia="宋体" w:cs="宋体e眠副浡渀."/>
          <w:color w:val="000000"/>
          <w:kern w:val="0"/>
          <w:sz w:val="24"/>
        </w:rPr>
      </w:pPr>
      <w:r>
        <w:rPr>
          <w:rFonts w:hint="eastAsia" w:ascii="宋体" w:hAnsi="宋体" w:eastAsia="宋体" w:cs="宋体e眠副浡渀."/>
          <w:color w:val="000000"/>
          <w:kern w:val="0"/>
          <w:sz w:val="24"/>
        </w:rPr>
        <w:t>课程目标3：能够运用电路相关基础知识，正确识别三相交流电路联结形式、具有互感的电路和磁路以及动态电路，理解三要素法在动态电路时域分析和计算中的重要意义，略述一阶、二阶动态电路的工程应用；</w:t>
      </w:r>
    </w:p>
    <w:p>
      <w:pPr>
        <w:spacing w:line="420" w:lineRule="exact"/>
        <w:ind w:firstLine="480" w:firstLineChars="200"/>
        <w:rPr>
          <w:rFonts w:ascii="Times New Roman" w:hAnsi="黑体" w:cs="Times New Roman"/>
          <w:bCs/>
        </w:rPr>
      </w:pPr>
      <w:r>
        <w:rPr>
          <w:rFonts w:hint="eastAsia" w:ascii="宋体" w:hAnsi="宋体" w:eastAsia="宋体" w:cs="宋体e眠副浡渀."/>
          <w:kern w:val="0"/>
          <w:sz w:val="24"/>
        </w:rPr>
        <w:t>课程目标4：通过电路的综合分析与解题过程，将学习的知识体系做到前后贯通、立体关联，体会唯物辩证法三大规律，养成用哲学辩证的思维习惯看待问题、处理问题，掌握正确的学习方法和思维方法，形成科学的世界观和方法论，并能结合“中国制造2025”对制造业的人才需求，坚持新发展理念，树立正确的价值观，增强推进社会发展的使命感。</w:t>
      </w:r>
    </w:p>
    <w:p>
      <w:pPr>
        <w:pStyle w:val="18"/>
        <w:spacing w:line="420" w:lineRule="exact"/>
        <w:rPr>
          <w:rFonts w:ascii="Times New Roman" w:hAnsi="黑体" w:cs="Times New Roman"/>
          <w:bCs/>
        </w:rPr>
      </w:pPr>
      <w:r>
        <w:rPr>
          <w:rFonts w:hint="eastAsia" w:asciiTheme="majorEastAsia" w:hAnsiTheme="majorEastAsia" w:eastAsiaTheme="majorEastAsia" w:cstheme="majorEastAsia"/>
          <w:b/>
          <w:bCs/>
          <w:sz w:val="28"/>
          <w:szCs w:val="28"/>
        </w:rPr>
        <w:t>三、课程目标与毕业要求的支撑关系</w:t>
      </w:r>
    </w:p>
    <w:tbl>
      <w:tblPr>
        <w:tblStyle w:val="11"/>
        <w:tblW w:w="3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9"/>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79" w:type="dxa"/>
          </w:tcPr>
          <w:p>
            <w:pPr>
              <w:pStyle w:val="18"/>
              <w:spacing w:line="360" w:lineRule="auto"/>
              <w:jc w:val="center"/>
              <w:rPr>
                <w:rFonts w:ascii="宋体" w:hAnsi="宋体" w:eastAsia="宋体" w:cs="宋体"/>
                <w:b/>
                <w:sz w:val="21"/>
                <w:szCs w:val="21"/>
              </w:rPr>
            </w:pPr>
            <w:r>
              <w:rPr>
                <w:rFonts w:hint="eastAsia" w:ascii="宋体" w:hAnsi="宋体" w:eastAsia="宋体" w:cs="宋体"/>
                <w:b/>
                <w:sz w:val="21"/>
                <w:szCs w:val="21"/>
              </w:rPr>
              <w:t>毕业要求</w:t>
            </w:r>
          </w:p>
        </w:tc>
        <w:tc>
          <w:tcPr>
            <w:tcW w:w="1826" w:type="dxa"/>
          </w:tcPr>
          <w:p>
            <w:pPr>
              <w:pStyle w:val="18"/>
              <w:spacing w:line="360" w:lineRule="auto"/>
              <w:jc w:val="center"/>
              <w:rPr>
                <w:rFonts w:ascii="宋体" w:hAnsi="宋体" w:eastAsia="宋体" w:cs="宋体"/>
                <w:b/>
                <w:sz w:val="21"/>
                <w:szCs w:val="21"/>
              </w:rPr>
            </w:pPr>
            <w:r>
              <w:rPr>
                <w:rFonts w:hint="eastAsia" w:ascii="宋体" w:hAnsi="宋体" w:eastAsia="宋体" w:cs="宋体"/>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9" w:type="dxa"/>
            <w:vAlign w:val="center"/>
          </w:tcPr>
          <w:p>
            <w:pPr>
              <w:pStyle w:val="18"/>
              <w:adjustRightInd/>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毕业要求4：专业知识和能力</w:t>
            </w:r>
          </w:p>
        </w:tc>
        <w:tc>
          <w:tcPr>
            <w:tcW w:w="1826" w:type="dxa"/>
            <w:vAlign w:val="center"/>
          </w:tcPr>
          <w:p>
            <w:pPr>
              <w:pStyle w:val="18"/>
              <w:spacing w:line="360" w:lineRule="auto"/>
              <w:jc w:val="center"/>
              <w:rPr>
                <w:rFonts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w:t>
            </w:r>
            <w:r>
              <w:rPr>
                <w:rFonts w:cs="Times New Roman" w:asciiTheme="minorEastAsia" w:hAnsiTheme="minorEastAsia" w:eastAsiaTheme="minorEastAsia"/>
                <w:sz w:val="21"/>
                <w:szCs w:val="21"/>
              </w:rPr>
              <w:t>2、</w:t>
            </w:r>
            <w:r>
              <w:rPr>
                <w:rFonts w:hint="eastAsia" w:cs="Times New Roman" w:asciiTheme="minorEastAsia" w:hAnsiTheme="minorEastAsia" w:eastAsiaTheme="minorEastAsia"/>
                <w:sz w:val="21"/>
                <w:szCs w:val="21"/>
              </w:rPr>
              <w:t>3</w:t>
            </w:r>
          </w:p>
        </w:tc>
      </w:tr>
    </w:tbl>
    <w:p>
      <w:pPr>
        <w:pStyle w:val="18"/>
        <w:spacing w:line="420" w:lineRule="exact"/>
        <w:rPr>
          <w:rFonts w:hAnsi="黑体"/>
        </w:rPr>
      </w:pPr>
      <w:r>
        <w:rPr>
          <w:rFonts w:hint="eastAsia" w:asciiTheme="majorEastAsia" w:hAnsiTheme="majorEastAsia" w:eastAsiaTheme="majorEastAsia" w:cstheme="majorEastAsia"/>
          <w:b/>
          <w:bCs/>
          <w:sz w:val="28"/>
          <w:szCs w:val="28"/>
        </w:rPr>
        <w:t>四、课程教学内容</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内容1：</w:t>
      </w:r>
      <w:r>
        <w:rPr>
          <w:rFonts w:hint="eastAsia" w:ascii="Times New Roman" w:hAnsi="Times New Roman"/>
          <w:b w:val="0"/>
          <w:color w:val="auto"/>
        </w:rPr>
        <w:t>电路的基本概念和定律</w:t>
      </w:r>
    </w:p>
    <w:p>
      <w:pPr>
        <w:pStyle w:val="18"/>
        <w:spacing w:line="420" w:lineRule="exact"/>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1．基本内容：电路与模型、集中参数电路、电路中的基本物理量、基尔霍夫定律、电阻元件、电容元件、电感元件、电压源、电流源及受控源。</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2</w:t>
      </w:r>
      <w:r>
        <w:rPr>
          <w:rFonts w:hint="eastAsia" w:asciiTheme="minorEastAsia" w:hAnsiTheme="minorEastAsia" w:eastAsiaTheme="minorEastAsia" w:cstheme="minorEastAsia"/>
          <w:color w:val="auto"/>
        </w:rPr>
        <w:t>. 重点：</w:t>
      </w:r>
      <w:r>
        <w:rPr>
          <w:rFonts w:hint="eastAsia" w:ascii="Times New Roman" w:hAnsi="Times New Roman" w:eastAsia="宋体" w:cs="Times New Roman"/>
          <w:color w:val="auto"/>
        </w:rPr>
        <w:t>集中参数电路概念、参考方向概念、基尔霍夫定律。</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难点：受控源的概念。</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了解电路的组成、实际元件与理想元件的区别，了解电路模型和额定值的意义；熟练掌握电流、电压的参考方向和数值正负的意义及在分析计算电路时的应用；熟练掌握运用关联参考方向概念正确计算电路问题；掌握电压源、电流源的概念以及含受控源的复杂直流电路的计算；熟练掌握基尔霍夫定律；掌握电阻、电容、电感元件伏安关系，电容、电感元件储能及电容电压、电感电流的连续性质；掌握元件吸收、提供功率的计算和判断；掌握电路中电位的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5</w:t>
      </w:r>
      <w:r>
        <w:rPr>
          <w:rFonts w:hint="eastAsia" w:asciiTheme="minorEastAsia" w:hAnsiTheme="minorEastAsia" w:eastAsiaTheme="minorEastAsia" w:cstheme="minorEastAsia"/>
          <w:color w:val="auto"/>
        </w:rPr>
        <w:t>. 能力目标：在实际电路分析中熟练运用基尔霍夫定律和欧姆定律。</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 素质目标：通过实际电路的建模过程，理解主要矛盾和次要矛盾、矛盾的主要方面和次要方面等唯物辩证法的一些基本规律和范畴在工程问题中的运用；通过基尔霍夫等名人的科学研究经历，形成对待科学的正确态度，树立科学的世界观，为科技强国梦的实现奉献力量。</w:t>
      </w:r>
    </w:p>
    <w:p>
      <w:pPr>
        <w:pStyle w:val="23"/>
        <w:spacing w:line="420" w:lineRule="exact"/>
        <w:ind w:firstLine="480"/>
        <w:rPr>
          <w:rFonts w:ascii="Times New Roman" w:hAnsi="Times New Roman"/>
          <w:b w:val="0"/>
          <w:color w:val="auto"/>
        </w:rPr>
      </w:pPr>
      <w:r>
        <w:rPr>
          <w:rFonts w:hint="eastAsia" w:asciiTheme="minorEastAsia" w:hAnsiTheme="minorEastAsia" w:eastAsiaTheme="minorEastAsia" w:cstheme="minorEastAsia"/>
          <w:b w:val="0"/>
          <w:bCs w:val="0"/>
          <w:color w:val="auto"/>
        </w:rPr>
        <w:t>内容2:</w:t>
      </w:r>
      <w:r>
        <w:rPr>
          <w:rFonts w:hint="eastAsia" w:ascii="Times New Roman" w:hAnsi="Times New Roman"/>
          <w:b w:val="0"/>
          <w:color w:val="auto"/>
        </w:rPr>
        <w:t xml:space="preserve"> 电阻电路的一般分析方法</w:t>
      </w:r>
    </w:p>
    <w:p>
      <w:pPr>
        <w:spacing w:line="420" w:lineRule="exact"/>
        <w:ind w:firstLine="480" w:firstLineChars="200"/>
        <w:rPr>
          <w:rFonts w:ascii="Times New Roman" w:hAnsi="Times New Roman"/>
          <w:sz w:val="24"/>
        </w:rPr>
      </w:pPr>
      <w:r>
        <w:rPr>
          <w:rFonts w:ascii="Times New Roman" w:hAnsi="Times New Roman"/>
          <w:sz w:val="24"/>
        </w:rPr>
        <w:t>1</w:t>
      </w:r>
      <w:r>
        <w:rPr>
          <w:rFonts w:hint="eastAsia" w:ascii="Times New Roman" w:hAnsi="Times New Roman"/>
          <w:sz w:val="24"/>
        </w:rPr>
        <w:t>．基本内容：</w:t>
      </w:r>
      <w:r>
        <w:rPr>
          <w:rFonts w:hint="eastAsia" w:ascii="Times New Roman" w:hAnsi="Times New Roman"/>
          <w:kern w:val="0"/>
          <w:sz w:val="24"/>
        </w:rPr>
        <w:t>两类约束与电路方程、</w:t>
      </w:r>
      <w:r>
        <w:rPr>
          <w:rFonts w:hint="eastAsia" w:ascii="Times New Roman" w:hAnsi="Times New Roman"/>
          <w:sz w:val="24"/>
        </w:rPr>
        <w:t>支路电流法、</w:t>
      </w:r>
      <w:r>
        <w:rPr>
          <w:rFonts w:hint="eastAsia" w:ascii="Times New Roman" w:hAnsi="Times New Roman"/>
          <w:kern w:val="0"/>
          <w:sz w:val="24"/>
        </w:rPr>
        <w:t>网孔电流法、节点电压法、理想运算放大器电路分析、电路的对偶性。</w:t>
      </w:r>
    </w:p>
    <w:p>
      <w:pPr>
        <w:pStyle w:val="23"/>
        <w:spacing w:line="420" w:lineRule="exact"/>
        <w:ind w:firstLine="480"/>
        <w:rPr>
          <w:rFonts w:ascii="Times New Roman" w:hAnsi="Times New Roman" w:cs="Times New Roman"/>
          <w:b w:val="0"/>
          <w:color w:val="auto"/>
        </w:rPr>
      </w:pPr>
      <w:r>
        <w:rPr>
          <w:rFonts w:ascii="Times New Roman" w:hAnsi="Times New Roman" w:cs="Times New Roman"/>
          <w:b w:val="0"/>
          <w:color w:val="auto"/>
        </w:rPr>
        <w:t>2</w:t>
      </w:r>
      <w:r>
        <w:rPr>
          <w:rFonts w:hint="eastAsia" w:ascii="Times New Roman" w:hAnsi="Times New Roman" w:cs="Times New Roman"/>
          <w:b w:val="0"/>
          <w:color w:val="auto"/>
        </w:rPr>
        <w:t>．重点：网孔电流法和节点电压法方程的列写。</w:t>
      </w:r>
    </w:p>
    <w:p>
      <w:pPr>
        <w:pStyle w:val="18"/>
        <w:spacing w:line="420" w:lineRule="exact"/>
        <w:ind w:firstLine="480" w:firstLineChars="200"/>
        <w:rPr>
          <w:rFonts w:ascii="Times New Roman" w:hAnsi="Times New Roman" w:eastAsia="宋体" w:cs="Times New Roman"/>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难点：复杂电阻电路中</w:t>
      </w:r>
      <w:r>
        <w:rPr>
          <w:rFonts w:hint="eastAsia" w:ascii="Times New Roman" w:hAnsi="Times New Roman" w:eastAsia="宋体" w:cs="Times New Roman"/>
          <w:color w:val="auto"/>
        </w:rPr>
        <w:t>节点电压法方程的列写和计算。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掌握独立的电路方程数的判断；掌握支路法的应用；掌握网孔法和节点法中网孔电流方程与节点电压方程的列写；理解含运算放大器的电阻电路的分析方法；了解电路的对偶性。</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5</w:t>
      </w:r>
      <w:r>
        <w:rPr>
          <w:rFonts w:hint="eastAsia" w:asciiTheme="minorEastAsia" w:hAnsiTheme="minorEastAsia" w:eastAsiaTheme="minorEastAsia" w:cstheme="minorEastAsia"/>
          <w:color w:val="auto"/>
        </w:rPr>
        <w:t>. 能力目标：在实际电路分析中熟练运用</w:t>
      </w:r>
      <w:r>
        <w:rPr>
          <w:rFonts w:hint="eastAsia" w:ascii="Times New Roman" w:hAnsi="Times New Roman" w:eastAsia="宋体" w:cs="Times New Roman"/>
          <w:color w:val="auto"/>
        </w:rPr>
        <w:t>网孔电流法</w:t>
      </w:r>
      <w:r>
        <w:rPr>
          <w:rFonts w:hint="eastAsia" w:asciiTheme="minorEastAsia" w:hAnsiTheme="minorEastAsia" w:eastAsiaTheme="minorEastAsia" w:cstheme="minorEastAsia"/>
          <w:color w:val="auto"/>
        </w:rPr>
        <w:t>和</w:t>
      </w:r>
      <w:r>
        <w:rPr>
          <w:rFonts w:hint="eastAsia" w:ascii="Times New Roman" w:hAnsi="Times New Roman" w:eastAsia="宋体" w:cs="Times New Roman"/>
          <w:color w:val="auto"/>
        </w:rPr>
        <w:t>节点电压法，并</w:t>
      </w:r>
      <w:r>
        <w:rPr>
          <w:rFonts w:hint="eastAsia" w:asciiTheme="minorEastAsia" w:hAnsiTheme="minorEastAsia" w:eastAsiaTheme="minorEastAsia" w:cstheme="minorEastAsia"/>
          <w:color w:val="auto"/>
        </w:rPr>
        <w:t>能根据不同电路选用合适的方法。</w:t>
      </w:r>
    </w:p>
    <w:p>
      <w:pPr>
        <w:pStyle w:val="18"/>
        <w:spacing w:line="420" w:lineRule="exact"/>
        <w:ind w:firstLine="480" w:firstLineChars="20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 素质目标：通过不同方法适合求解不同电路，养成先观察、再找特点、最后定方法的解决问题的方式，能多角度、辩证地分析问题、认清自我，以便更好地服务人民、奉献社会，实现追求科学的崇高人生价值；通过电路的对偶性，了解事物之间的相似或相对的内在联系，简化认知事物的过程，从而不断习得科学研究者所必须的能力、品格，养成科学探索精神、合作品质、奉献情怀，传承科学文化传统，明确纪律规范的过程。</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内容</w:t>
      </w:r>
      <w:r>
        <w:rPr>
          <w:rFonts w:asciiTheme="minorEastAsia" w:hAnsiTheme="minorEastAsia" w:eastAsiaTheme="minorEastAsia" w:cstheme="minorEastAsia"/>
          <w:b w:val="0"/>
          <w:bCs w:val="0"/>
          <w:color w:val="auto"/>
        </w:rPr>
        <w:t>3</w:t>
      </w:r>
      <w:r>
        <w:rPr>
          <w:rFonts w:hint="eastAsia" w:asciiTheme="minorEastAsia" w:hAnsiTheme="minorEastAsia" w:eastAsiaTheme="minorEastAsia" w:cstheme="minorEastAsia"/>
          <w:b w:val="0"/>
          <w:bCs w:val="0"/>
          <w:color w:val="auto"/>
        </w:rPr>
        <w:t>：电路等效及电路定理</w:t>
      </w:r>
    </w:p>
    <w:p>
      <w:pPr>
        <w:spacing w:line="420" w:lineRule="exact"/>
        <w:ind w:firstLine="480" w:firstLineChars="200"/>
        <w:rPr>
          <w:rFonts w:asciiTheme="minorEastAsia" w:hAnsiTheme="minorEastAsia" w:cstheme="minorEastAsia"/>
          <w:kern w:val="0"/>
          <w:sz w:val="24"/>
        </w:rPr>
      </w:pPr>
      <w:r>
        <w:rPr>
          <w:rFonts w:asciiTheme="minorEastAsia" w:hAnsiTheme="minorEastAsia" w:cstheme="minorEastAsia"/>
          <w:kern w:val="0"/>
          <w:sz w:val="24"/>
        </w:rPr>
        <w:t>1</w:t>
      </w:r>
      <w:r>
        <w:rPr>
          <w:rFonts w:hint="eastAsia" w:asciiTheme="minorEastAsia" w:hAnsiTheme="minorEastAsia" w:cstheme="minorEastAsia"/>
          <w:kern w:val="0"/>
          <w:sz w:val="24"/>
        </w:rPr>
        <w:t>．基本内容：线性电路叠加、单口网络等效的概念、单口电阻网络的等效变换、有源单口网络的等效变换、替代定理、戴维宁定理和诺顿定理、最大功率传输定理。</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2</w:t>
      </w:r>
      <w:r>
        <w:rPr>
          <w:rFonts w:hint="eastAsia" w:asciiTheme="minorEastAsia" w:hAnsiTheme="minorEastAsia" w:eastAsiaTheme="minorEastAsia" w:cstheme="minorEastAsia"/>
          <w:color w:val="auto"/>
        </w:rPr>
        <w:t>．重点：叠加原理、等效变换概念、戴维宁定理和诺顿定理。</w:t>
      </w:r>
    </w:p>
    <w:p>
      <w:pPr>
        <w:pStyle w:val="18"/>
        <w:spacing w:line="420" w:lineRule="exact"/>
        <w:ind w:firstLine="480" w:firstLineChars="200"/>
        <w:rPr>
          <w:rFonts w:ascii="Times New Roman" w:hAnsi="Times New Roman" w:eastAsia="宋体" w:cs="Times New Roman"/>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难点：等效和替代概念的理解，复杂电阻电路中戴维宁、诺顿定理的运用，含受控源一端口网络输入电阻求解</w:t>
      </w:r>
      <w:r>
        <w:rPr>
          <w:rFonts w:hint="eastAsia" w:ascii="Times New Roman" w:hAnsi="Times New Roman" w:eastAsia="宋体" w:cs="Times New Roman"/>
          <w:color w:val="auto"/>
        </w:rPr>
        <w:t>。</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熟练掌握并应用叠加原理分析电路；掌握单口网络的分解方法以及求解单口网络伏安关系的方法；理解等效概念；掌握单口电阻网络和有源单口网络的等效变换方法；掌握替代定理；熟练掌握并应用戴维宁及诺顿定理、最大功率传递定理分析化简典型电路；了解</w:t>
      </w:r>
      <w:r>
        <w:rPr>
          <w:rFonts w:asciiTheme="minorEastAsia" w:hAnsiTheme="minorEastAsia" w:eastAsiaTheme="minorEastAsia" w:cstheme="minorEastAsia"/>
          <w:color w:val="auto"/>
        </w:rPr>
        <w:t>T</w:t>
      </w:r>
      <w:r>
        <w:rPr>
          <w:rFonts w:hint="eastAsia" w:asciiTheme="minorEastAsia" w:hAnsiTheme="minorEastAsia" w:eastAsiaTheme="minorEastAsia" w:cstheme="minorEastAsia"/>
          <w:color w:val="auto"/>
        </w:rPr>
        <w:t>形和</w:t>
      </w:r>
      <w:r>
        <w:rPr>
          <w:rFonts w:asciiTheme="minorEastAsia" w:hAnsiTheme="minorEastAsia" w:eastAsiaTheme="minorEastAsia" w:cstheme="minorEastAsia"/>
          <w:color w:val="auto"/>
        </w:rPr>
        <w:t>π</w:t>
      </w:r>
      <w:r>
        <w:rPr>
          <w:rFonts w:hint="eastAsia" w:asciiTheme="minorEastAsia" w:hAnsiTheme="minorEastAsia" w:eastAsiaTheme="minorEastAsia" w:cstheme="minorEastAsia"/>
          <w:color w:val="auto"/>
        </w:rPr>
        <w:t>形等典型电阻网络的等效变换及等值电阻的计算。</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能力目标：在实际电路分析中熟练运用叠加原理、戴维宁定理、</w:t>
      </w:r>
      <w:r>
        <w:rPr>
          <w:rFonts w:hint="eastAsia" w:asciiTheme="minorEastAsia" w:hAnsiTheme="minorEastAsia" w:eastAsiaTheme="minorEastAsia" w:cstheme="minorEastAsia"/>
          <w:b w:val="0"/>
          <w:color w:val="auto"/>
        </w:rPr>
        <w:t>诺顿</w:t>
      </w:r>
      <w:r>
        <w:rPr>
          <w:rFonts w:hint="eastAsia" w:asciiTheme="minorEastAsia" w:hAnsiTheme="minorEastAsia" w:eastAsiaTheme="minorEastAsia" w:cstheme="minorEastAsia"/>
          <w:b w:val="0"/>
          <w:bCs w:val="0"/>
          <w:color w:val="auto"/>
        </w:rPr>
        <w:t>定理，并能根据不同电路选用合适的方法。形成化复杂电路为简单电路的思维方法。</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6. 素质目标：通过电路等效变换，学会“变换”解决问题的方法，能够辨证地看待问题，从矛盾双方去分析问题的两面性，全面地对解决问题的方法进行评估；通过叠加原理，理解事物结果与多个原因之间的复杂关系，学会把问题简单化，从而认识和理解学习的价值，调整学习策略和方法，系统地看待问题，具有大局观。</w:t>
      </w:r>
    </w:p>
    <w:p>
      <w:pPr>
        <w:pStyle w:val="23"/>
        <w:spacing w:line="420" w:lineRule="exact"/>
        <w:ind w:firstLine="480"/>
        <w:rPr>
          <w:rFonts w:ascii="Times New Roman" w:hAnsi="Times New Roman"/>
          <w:b w:val="0"/>
          <w:color w:val="auto"/>
        </w:rPr>
      </w:pPr>
      <w:r>
        <w:rPr>
          <w:rFonts w:hint="eastAsia" w:ascii="Times New Roman" w:hAnsi="Times New Roman"/>
          <w:b w:val="0"/>
          <w:color w:val="auto"/>
        </w:rPr>
        <w:t>内容</w:t>
      </w:r>
      <w:r>
        <w:rPr>
          <w:rFonts w:ascii="Times New Roman" w:hAnsi="Times New Roman"/>
          <w:b w:val="0"/>
          <w:color w:val="auto"/>
        </w:rPr>
        <w:t>4</w:t>
      </w:r>
      <w:r>
        <w:rPr>
          <w:rFonts w:hint="eastAsia" w:ascii="Times New Roman" w:hAnsi="Times New Roman"/>
          <w:b w:val="0"/>
          <w:color w:val="auto"/>
        </w:rPr>
        <w:t>：正弦稳态电路分析</w:t>
      </w:r>
    </w:p>
    <w:p>
      <w:pPr>
        <w:spacing w:line="420" w:lineRule="exact"/>
        <w:ind w:firstLine="480" w:firstLineChars="200"/>
        <w:rPr>
          <w:rFonts w:ascii="Times New Roman" w:hAnsi="Times New Roman"/>
          <w:sz w:val="24"/>
        </w:rPr>
      </w:pPr>
      <w:r>
        <w:rPr>
          <w:rFonts w:ascii="Times New Roman" w:hAnsi="Times New Roman"/>
          <w:sz w:val="24"/>
        </w:rPr>
        <w:t>1</w:t>
      </w:r>
      <w:r>
        <w:rPr>
          <w:rFonts w:hint="eastAsia" w:ascii="Times New Roman" w:hAnsi="Times New Roman"/>
          <w:sz w:val="24"/>
        </w:rPr>
        <w:t>．基本内容：</w:t>
      </w:r>
      <w:r>
        <w:rPr>
          <w:rFonts w:hint="eastAsia" w:ascii="Times New Roman" w:hAnsi="Times New Roman"/>
          <w:kern w:val="0"/>
          <w:sz w:val="24"/>
        </w:rPr>
        <w:t>正弦量的基本概念、正弦量的相量表示法、基尔霍夫定律</w:t>
      </w:r>
      <w:r>
        <w:rPr>
          <w:rFonts w:hint="eastAsia" w:ascii="Times New Roman" w:hAnsi="Times New Roman"/>
          <w:sz w:val="24"/>
        </w:rPr>
        <w:t>的相量形式、</w:t>
      </w:r>
      <w:r>
        <w:rPr>
          <w:rFonts w:hint="eastAsia" w:ascii="Times New Roman" w:hAnsi="Times New Roman"/>
          <w:kern w:val="0"/>
          <w:sz w:val="24"/>
        </w:rPr>
        <w:t>电路元件</w:t>
      </w:r>
      <w:r>
        <w:rPr>
          <w:rFonts w:ascii="Times New Roman" w:hAnsi="Times New Roman"/>
          <w:kern w:val="0"/>
          <w:sz w:val="24"/>
        </w:rPr>
        <w:t>VCR</w:t>
      </w:r>
      <w:r>
        <w:rPr>
          <w:rFonts w:hint="eastAsia" w:ascii="Times New Roman" w:hAnsi="Times New Roman"/>
          <w:sz w:val="24"/>
        </w:rPr>
        <w:t>的相量形式、阻抗与导纳、</w:t>
      </w:r>
      <w:r>
        <w:rPr>
          <w:rFonts w:hint="eastAsia" w:ascii="Times New Roman" w:hAnsi="Times New Roman"/>
          <w:kern w:val="0"/>
          <w:sz w:val="24"/>
        </w:rPr>
        <w:t>正弦稳态电路的相量分析、正弦稳态电路的</w:t>
      </w:r>
      <w:r>
        <w:rPr>
          <w:rFonts w:hint="eastAsia" w:ascii="Times New Roman" w:hAnsi="Times New Roman"/>
          <w:sz w:val="24"/>
        </w:rPr>
        <w:t>功率、</w:t>
      </w:r>
      <w:r>
        <w:rPr>
          <w:rFonts w:hint="eastAsia" w:ascii="Times New Roman" w:hAnsi="Times New Roman"/>
          <w:kern w:val="0"/>
          <w:sz w:val="24"/>
        </w:rPr>
        <w:t>最大</w:t>
      </w:r>
      <w:r>
        <w:rPr>
          <w:rFonts w:hint="eastAsia" w:ascii="Times New Roman" w:hAnsi="Times New Roman"/>
          <w:sz w:val="24"/>
        </w:rPr>
        <w:t>功率传递定理。</w:t>
      </w:r>
    </w:p>
    <w:p>
      <w:pPr>
        <w:pStyle w:val="18"/>
        <w:spacing w:line="420" w:lineRule="exact"/>
        <w:ind w:firstLine="480" w:firstLineChars="200"/>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．重点：阻抗与导纳、正弦稳态电路相量模型的建立、相量分析以及功率的计算。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难点：复杂</w:t>
      </w:r>
      <w:r>
        <w:rPr>
          <w:rFonts w:hint="eastAsia" w:ascii="Times New Roman" w:hAnsi="Times New Roman" w:eastAsia="宋体" w:cs="Times New Roman"/>
          <w:color w:val="auto"/>
        </w:rPr>
        <w:t>正弦稳态电路的相量分析、复功率的计算。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掌握正弦量的三要素；掌握复数的四则运算；理解并掌握正弦量的相量图和相量表示法；掌握阻抗、导纳、感抗、容抗的概念和计算方法；理解基尔霍夫定律的相量形式和元件伏安关系的相量形式，能画出电路相量模型，用相量法分析正弦稳态混联电路；掌握相量图法；掌握正弦稳态电路的有功功率、无功功率、视在功率、复功率、功率因数的概念及其分析计算方法；了解提高功率因数的经济意义；掌握提高功率因数的方法及并联电容的电容值计算；掌握最大功率传递定理的相量法计算。</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能力目标：建立相量模型，形成将电阻电路分析方法运用于</w:t>
      </w:r>
      <w:r>
        <w:rPr>
          <w:rFonts w:hint="eastAsia" w:asciiTheme="minorEastAsia" w:hAnsiTheme="minorEastAsia" w:eastAsiaTheme="minorEastAsia" w:cstheme="minorEastAsia"/>
          <w:b w:val="0"/>
          <w:color w:val="auto"/>
        </w:rPr>
        <w:t>正弦稳态电路</w:t>
      </w:r>
      <w:r>
        <w:rPr>
          <w:rFonts w:hint="eastAsia" w:asciiTheme="minorEastAsia" w:hAnsiTheme="minorEastAsia" w:eastAsiaTheme="minorEastAsia" w:cstheme="minorEastAsia"/>
          <w:b w:val="0"/>
          <w:bCs w:val="0"/>
          <w:color w:val="auto"/>
        </w:rPr>
        <w:t>的能力。</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6. 素质目标：通过19世纪著名的电力之战，了解交流电电力能源的产生、传输与变换，理解和掌握人文思想中所蕴含的认识方法和实践方法，具有以人为本的意识，尊重、维护人的尊严和价值，能关切人的生存、发展和幸福，理解和尊重文化艺术的多样性；通过中国的特高压技术，了解国内输电技术现状以及为实现中国梦而不懈奋斗的信念和行动，从而培养民族自豪感。</w:t>
      </w:r>
    </w:p>
    <w:p>
      <w:pPr>
        <w:pStyle w:val="23"/>
        <w:spacing w:line="420" w:lineRule="exact"/>
        <w:ind w:firstLine="480"/>
        <w:rPr>
          <w:rFonts w:ascii="Times New Roman" w:hAnsi="Times New Roman"/>
          <w:b w:val="0"/>
          <w:color w:val="auto"/>
        </w:rPr>
      </w:pPr>
      <w:r>
        <w:rPr>
          <w:rFonts w:hint="eastAsia" w:ascii="Times New Roman" w:hAnsi="Times New Roman"/>
          <w:b w:val="0"/>
          <w:color w:val="auto"/>
        </w:rPr>
        <w:t>内容5：电路的频率响应</w:t>
      </w:r>
    </w:p>
    <w:p>
      <w:pPr>
        <w:pStyle w:val="18"/>
        <w:spacing w:line="420" w:lineRule="exact"/>
        <w:ind w:firstLine="48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．基本内容：网络函数与频率特性、多频率激励电路、</w:t>
      </w:r>
      <w:r>
        <w:rPr>
          <w:rFonts w:ascii="Times New Roman" w:hAnsi="Times New Roman" w:eastAsia="宋体" w:cs="Times New Roman"/>
          <w:i/>
          <w:color w:val="auto"/>
        </w:rPr>
        <w:t>RLC</w:t>
      </w:r>
      <w:r>
        <w:rPr>
          <w:rFonts w:hint="eastAsia" w:ascii="Times New Roman" w:hAnsi="Times New Roman" w:eastAsia="宋体" w:cs="Times New Roman"/>
          <w:color w:val="auto"/>
        </w:rPr>
        <w:t>串联谐振电路、</w:t>
      </w:r>
      <w:r>
        <w:rPr>
          <w:rFonts w:ascii="Times New Roman" w:hAnsi="Times New Roman" w:eastAsia="宋体" w:cs="Times New Roman"/>
          <w:i/>
          <w:color w:val="auto"/>
        </w:rPr>
        <w:t>GLC</w:t>
      </w:r>
      <w:r>
        <w:rPr>
          <w:rFonts w:hint="eastAsia" w:ascii="Times New Roman" w:hAnsi="Times New Roman" w:eastAsia="宋体" w:cs="Times New Roman"/>
          <w:color w:val="auto"/>
        </w:rPr>
        <w:t>并联谐振电路。</w:t>
      </w:r>
    </w:p>
    <w:p>
      <w:pPr>
        <w:pStyle w:val="23"/>
        <w:spacing w:line="420" w:lineRule="exact"/>
        <w:ind w:firstLine="480"/>
        <w:rPr>
          <w:rFonts w:ascii="Times New Roman" w:hAnsi="Times New Roman" w:cs="Times New Roman"/>
          <w:b w:val="0"/>
          <w:color w:val="auto"/>
        </w:rPr>
      </w:pPr>
      <w:r>
        <w:rPr>
          <w:rFonts w:ascii="Times New Roman" w:hAnsi="Times New Roman" w:cs="Times New Roman"/>
          <w:b w:val="0"/>
          <w:color w:val="auto"/>
        </w:rPr>
        <w:t>2</w:t>
      </w:r>
      <w:r>
        <w:rPr>
          <w:rFonts w:hint="eastAsia" w:ascii="Times New Roman" w:hAnsi="Times New Roman" w:cs="Times New Roman"/>
          <w:b w:val="0"/>
          <w:color w:val="auto"/>
        </w:rPr>
        <w:t>．重点：多频率激励电路的计算、</w:t>
      </w:r>
      <w:r>
        <w:rPr>
          <w:rFonts w:ascii="Times New Roman" w:hAnsi="Times New Roman" w:cs="Times New Roman"/>
          <w:b w:val="0"/>
          <w:i/>
          <w:color w:val="auto"/>
        </w:rPr>
        <w:t>RLC</w:t>
      </w:r>
      <w:r>
        <w:rPr>
          <w:rFonts w:hint="eastAsia" w:ascii="Times New Roman" w:hAnsi="Times New Roman" w:cs="Times New Roman"/>
          <w:b w:val="0"/>
          <w:color w:val="auto"/>
        </w:rPr>
        <w:t>串联谐振特性与计算。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难点：不同频率激励的电路稳态响应相量模型的建立。</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理解正弦稳态网络函数概念，并能做出电路幅频、相频特性曲线；掌握多频率正弦激励电路的电流、电压有效值及平均功率计算方法；理解</w:t>
      </w:r>
      <w:r>
        <w:rPr>
          <w:rFonts w:ascii="Times New Roman" w:hAnsi="Times New Roman" w:eastAsia="宋体" w:cs="Times New Roman"/>
          <w:i/>
          <w:color w:val="auto"/>
        </w:rPr>
        <w:t>RLC</w:t>
      </w:r>
      <w:r>
        <w:rPr>
          <w:rFonts w:hint="eastAsia" w:ascii="Times New Roman" w:hAnsi="Times New Roman" w:eastAsia="宋体" w:cs="Times New Roman"/>
          <w:color w:val="auto"/>
        </w:rPr>
        <w:t>串联、并联电路的电压、电流关系及其谐振特性。</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能力目标：能将傅里叶</w:t>
      </w:r>
      <w:r>
        <w:rPr>
          <w:rFonts w:asciiTheme="minorEastAsia" w:hAnsiTheme="minorEastAsia" w:eastAsiaTheme="minorEastAsia" w:cstheme="minorEastAsia"/>
          <w:b w:val="0"/>
          <w:bCs w:val="0"/>
          <w:color w:val="auto"/>
        </w:rPr>
        <w:t>级数等</w:t>
      </w:r>
      <w:r>
        <w:rPr>
          <w:rFonts w:hint="eastAsia" w:asciiTheme="minorEastAsia" w:hAnsiTheme="minorEastAsia" w:eastAsiaTheme="minorEastAsia" w:cstheme="minorEastAsia"/>
          <w:b w:val="0"/>
          <w:bCs w:val="0"/>
          <w:color w:val="auto"/>
        </w:rPr>
        <w:t>数学方法引入电路分析中，认识到谐振现象在生产、生活中的</w:t>
      </w:r>
      <w:r>
        <w:rPr>
          <w:rFonts w:asciiTheme="minorEastAsia" w:hAnsiTheme="minorEastAsia" w:eastAsiaTheme="minorEastAsia" w:cstheme="minorEastAsia"/>
          <w:b w:val="0"/>
          <w:bCs w:val="0"/>
          <w:color w:val="auto"/>
        </w:rPr>
        <w:t>应用</w:t>
      </w:r>
      <w:r>
        <w:rPr>
          <w:rFonts w:hint="eastAsia" w:asciiTheme="minorEastAsia" w:hAnsiTheme="minorEastAsia" w:eastAsiaTheme="minorEastAsia" w:cstheme="minorEastAsia"/>
          <w:b w:val="0"/>
          <w:bCs w:val="0"/>
          <w:color w:val="auto"/>
        </w:rPr>
        <w:t>。</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6. 素质目标：通过串联谐振电路，理解事件发生场合的不同会对结果产生不同的影响，学会辩证的思维模式，培养专业知识和个人品德的同频共振。</w:t>
      </w:r>
    </w:p>
    <w:p>
      <w:pPr>
        <w:pStyle w:val="23"/>
        <w:spacing w:line="420" w:lineRule="exact"/>
        <w:ind w:firstLine="480"/>
        <w:rPr>
          <w:rFonts w:ascii="Times New Roman" w:hAnsi="Times New Roman"/>
          <w:b w:val="0"/>
          <w:color w:val="auto"/>
        </w:rPr>
      </w:pPr>
      <w:r>
        <w:rPr>
          <w:rFonts w:hint="eastAsia" w:ascii="Times New Roman" w:hAnsi="Times New Roman"/>
          <w:b w:val="0"/>
          <w:color w:val="auto"/>
        </w:rPr>
        <w:t>内容6：耦合电感、理想变压器及双口网络</w:t>
      </w:r>
    </w:p>
    <w:p>
      <w:pPr>
        <w:pStyle w:val="18"/>
        <w:spacing w:line="420" w:lineRule="exact"/>
        <w:ind w:firstLine="48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．基本内容：耦合电感、耦合电感电路分析、理想变压器、双口网络。</w:t>
      </w:r>
    </w:p>
    <w:p>
      <w:pPr>
        <w:pStyle w:val="23"/>
        <w:spacing w:line="420" w:lineRule="exact"/>
        <w:ind w:firstLine="480"/>
        <w:rPr>
          <w:rFonts w:ascii="Times New Roman" w:hAnsi="Times New Roman" w:cs="Times New Roman"/>
          <w:b w:val="0"/>
          <w:color w:val="auto"/>
        </w:rPr>
      </w:pPr>
      <w:r>
        <w:rPr>
          <w:rFonts w:ascii="Times New Roman" w:hAnsi="Times New Roman" w:cs="Times New Roman"/>
          <w:b w:val="0"/>
          <w:color w:val="auto"/>
        </w:rPr>
        <w:t>2</w:t>
      </w:r>
      <w:r>
        <w:rPr>
          <w:rFonts w:hint="eastAsia" w:ascii="Times New Roman" w:hAnsi="Times New Roman" w:cs="Times New Roman"/>
          <w:b w:val="0"/>
          <w:color w:val="auto"/>
        </w:rPr>
        <w:t>．重点：耦合电感电路分析与计算、空心变压器和理想变压器的计算。</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w:t>
      </w:r>
      <w:r>
        <w:rPr>
          <w:rFonts w:asciiTheme="minorEastAsia" w:hAnsiTheme="minorEastAsia" w:eastAsiaTheme="minorEastAsia" w:cstheme="minorEastAsia"/>
          <w:color w:val="auto"/>
        </w:rPr>
        <w:t xml:space="preserve"> </w:t>
      </w:r>
      <w:r>
        <w:rPr>
          <w:rFonts w:hint="eastAsia" w:asciiTheme="minorEastAsia" w:hAnsiTheme="minorEastAsia" w:eastAsiaTheme="minorEastAsia" w:cstheme="minorEastAsia"/>
          <w:color w:val="auto"/>
        </w:rPr>
        <w:t>复杂电路中耦合电感去耦分析，理想变压器与铁心变压器的异同。</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了解自感现象和互感现象；理解耦合电感的同名端和异名端及伏安关系；掌握耦合电感的串联、并联分析及去耦等效方法；掌握耦合电感电路及空心变压器电路的分析计算方法；掌握理想变压器伏安关系和阻抗变换性质；了解双口网络概念及等效电路。</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能力目标：在实际工程中运用双口网络这种电路形式。</w:t>
      </w:r>
    </w:p>
    <w:p>
      <w:pPr>
        <w:pStyle w:val="23"/>
        <w:spacing w:line="420" w:lineRule="exact"/>
        <w:ind w:firstLine="480"/>
        <w:rPr>
          <w:rFonts w:ascii="Times New Roman" w:hAnsi="Times New Roman" w:cs="Times New Roman"/>
          <w:b w:val="0"/>
          <w:bCs w:val="0"/>
          <w:color w:val="auto"/>
        </w:rPr>
      </w:pPr>
      <w:r>
        <w:rPr>
          <w:rFonts w:hint="eastAsia" w:ascii="Times New Roman" w:hAnsi="Times New Roman" w:cs="Times New Roman"/>
          <w:b w:val="0"/>
          <w:bCs w:val="0"/>
          <w:color w:val="auto"/>
        </w:rPr>
        <w:t>6. 素质目标：通过同相串联、反向串联等效电感的差异，理解事物总体与个体之间的关系；通过能够独立分析和解决实际耦合电路中的问题，培养严谨认真的科学作风、解决复杂问题的实践能力，并形成勇于探究的科学精神和团结协作的职业精神。</w:t>
      </w:r>
    </w:p>
    <w:p>
      <w:pPr>
        <w:pStyle w:val="23"/>
        <w:spacing w:line="420" w:lineRule="exact"/>
        <w:ind w:firstLine="480"/>
        <w:rPr>
          <w:rFonts w:ascii="Times New Roman" w:hAnsi="Times New Roman"/>
          <w:b w:val="0"/>
          <w:color w:val="auto"/>
        </w:rPr>
      </w:pPr>
      <w:r>
        <w:rPr>
          <w:rFonts w:hint="eastAsia" w:ascii="Times New Roman" w:hAnsi="Times New Roman"/>
          <w:b w:val="0"/>
          <w:color w:val="auto"/>
        </w:rPr>
        <w:t>内容</w:t>
      </w:r>
      <w:r>
        <w:rPr>
          <w:rFonts w:ascii="Times New Roman" w:hAnsi="Times New Roman"/>
          <w:b w:val="0"/>
          <w:color w:val="auto"/>
        </w:rPr>
        <w:t>7</w:t>
      </w:r>
      <w:r>
        <w:rPr>
          <w:rFonts w:hint="eastAsia" w:ascii="Times New Roman" w:hAnsi="Times New Roman"/>
          <w:b w:val="0"/>
          <w:color w:val="auto"/>
        </w:rPr>
        <w:t>：三相电路</w:t>
      </w:r>
    </w:p>
    <w:p>
      <w:pPr>
        <w:pStyle w:val="18"/>
        <w:spacing w:line="420" w:lineRule="exact"/>
        <w:ind w:firstLine="48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．基本内容：对称三相电源及联结、对称三相负载及其联结、三相电路的计算、三相电路的功率及其测量。</w:t>
      </w:r>
    </w:p>
    <w:p>
      <w:pPr>
        <w:pStyle w:val="23"/>
        <w:spacing w:line="420" w:lineRule="exact"/>
        <w:ind w:firstLine="480"/>
        <w:rPr>
          <w:rFonts w:asciiTheme="minorEastAsia" w:hAnsiTheme="minorEastAsia" w:eastAsiaTheme="minorEastAsia" w:cstheme="minorEastAsia"/>
          <w:b w:val="0"/>
          <w:bCs w:val="0"/>
          <w:color w:val="auto"/>
        </w:rPr>
      </w:pPr>
      <w:r>
        <w:rPr>
          <w:rFonts w:ascii="Times New Roman" w:hAnsi="Times New Roman" w:cs="Times New Roman"/>
          <w:b w:val="0"/>
          <w:color w:val="auto"/>
        </w:rPr>
        <w:t>2</w:t>
      </w:r>
      <w:r>
        <w:rPr>
          <w:rFonts w:hint="eastAsia" w:ascii="Times New Roman" w:hAnsi="Times New Roman" w:cs="Times New Roman"/>
          <w:b w:val="0"/>
          <w:color w:val="auto"/>
        </w:rPr>
        <w:t>．重点：对称三相电路负载的联结方式以及电压、电流的关系。</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w:t>
      </w:r>
      <w:r>
        <w:rPr>
          <w:rFonts w:hint="eastAsia" w:ascii="Times New Roman" w:hAnsi="Times New Roman" w:eastAsia="宋体" w:cs="Times New Roman"/>
          <w:color w:val="auto"/>
        </w:rPr>
        <w:t>不对称三相电路电压、电流的计算</w:t>
      </w:r>
      <w:r>
        <w:rPr>
          <w:rFonts w:hint="eastAsia" w:asciiTheme="minorEastAsia" w:hAnsiTheme="minorEastAsia" w:eastAsiaTheme="minorEastAsia" w:cstheme="minorEastAsia"/>
          <w:color w:val="auto"/>
        </w:rPr>
        <w:t>。</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掌握对称负载星形联结和三角形联结时三相电路中线电压与相电压，线电流与相电流之间的关系，计算方法及相量图；了解不对称负载星形联结和三角形联结时计算方法；了解三相四线制中线的作用和负载的正确接法；掌握对称三相电路功率的计算，了解三表法和二表法。</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能力目标：在实际中运用</w:t>
      </w:r>
      <w:r>
        <w:rPr>
          <w:rFonts w:asciiTheme="minorEastAsia" w:hAnsiTheme="minorEastAsia" w:eastAsiaTheme="minorEastAsia" w:cstheme="minorEastAsia"/>
          <w:b w:val="0"/>
          <w:bCs w:val="0"/>
          <w:color w:val="auto"/>
        </w:rPr>
        <w:t>三相</w:t>
      </w:r>
      <w:r>
        <w:rPr>
          <w:rFonts w:hint="eastAsia" w:asciiTheme="minorEastAsia" w:hAnsiTheme="minorEastAsia" w:eastAsiaTheme="minorEastAsia" w:cstheme="minorEastAsia"/>
          <w:b w:val="0"/>
          <w:bCs w:val="0"/>
          <w:color w:val="auto"/>
        </w:rPr>
        <w:t>系统</w:t>
      </w:r>
      <w:r>
        <w:rPr>
          <w:rFonts w:asciiTheme="minorEastAsia" w:hAnsiTheme="minorEastAsia" w:eastAsiaTheme="minorEastAsia" w:cstheme="minorEastAsia"/>
          <w:b w:val="0"/>
          <w:bCs w:val="0"/>
          <w:color w:val="auto"/>
        </w:rPr>
        <w:t>的配电</w:t>
      </w:r>
      <w:r>
        <w:rPr>
          <w:rFonts w:hint="eastAsia" w:asciiTheme="minorEastAsia" w:hAnsiTheme="minorEastAsia" w:eastAsiaTheme="minorEastAsia" w:cstheme="minorEastAsia"/>
          <w:b w:val="0"/>
          <w:bCs w:val="0"/>
          <w:color w:val="auto"/>
        </w:rPr>
        <w:t>方式</w:t>
      </w:r>
      <w:r>
        <w:rPr>
          <w:rFonts w:asciiTheme="minorEastAsia" w:hAnsiTheme="minorEastAsia" w:eastAsiaTheme="minorEastAsia" w:cstheme="minorEastAsia"/>
          <w:b w:val="0"/>
          <w:bCs w:val="0"/>
          <w:color w:val="auto"/>
        </w:rPr>
        <w:t>以及安全用电常识</w:t>
      </w:r>
      <w:r>
        <w:rPr>
          <w:rFonts w:hint="eastAsia" w:asciiTheme="minorEastAsia" w:hAnsiTheme="minorEastAsia" w:eastAsiaTheme="minorEastAsia" w:cstheme="minorEastAsia"/>
          <w:b w:val="0"/>
          <w:bCs w:val="0"/>
          <w:color w:val="auto"/>
        </w:rPr>
        <w:t>。</w:t>
      </w:r>
    </w:p>
    <w:p>
      <w:pPr>
        <w:pStyle w:val="23"/>
        <w:spacing w:line="42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rPr>
        <w:t>6. 素质目标：通过不对称电路的分析，了解电力领域的安全规范，掌握安全用电知识，学习中国“电力人”精神，敬畏生命、珍惜青春、无私奉献，从而遵守职业规范、恪守职业道德。</w:t>
      </w:r>
    </w:p>
    <w:p>
      <w:pPr>
        <w:pStyle w:val="23"/>
        <w:spacing w:line="420" w:lineRule="exact"/>
        <w:ind w:firstLine="480"/>
        <w:rPr>
          <w:rFonts w:ascii="Times New Roman" w:hAnsi="Times New Roman"/>
          <w:b w:val="0"/>
          <w:color w:val="auto"/>
        </w:rPr>
      </w:pPr>
      <w:r>
        <w:rPr>
          <w:rFonts w:hint="eastAsia" w:ascii="Times New Roman" w:hAnsi="Times New Roman"/>
          <w:b w:val="0"/>
          <w:color w:val="auto"/>
        </w:rPr>
        <w:t>内容</w:t>
      </w:r>
      <w:r>
        <w:rPr>
          <w:rFonts w:ascii="Times New Roman" w:hAnsi="Times New Roman"/>
          <w:b w:val="0"/>
          <w:color w:val="auto"/>
        </w:rPr>
        <w:t>8</w:t>
      </w:r>
      <w:r>
        <w:rPr>
          <w:rFonts w:hint="eastAsia" w:ascii="Times New Roman" w:hAnsi="Times New Roman"/>
          <w:b w:val="0"/>
          <w:color w:val="auto"/>
        </w:rPr>
        <w:t>：动态电路的时域分析</w:t>
      </w:r>
    </w:p>
    <w:p>
      <w:pPr>
        <w:pStyle w:val="18"/>
        <w:spacing w:line="420" w:lineRule="exact"/>
        <w:ind w:firstLine="480" w:firstLineChars="200"/>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．基本内容：动态电路的过渡过程、一阶电路的零输入响应、一阶电路的零状态响应、一阶电路的全响应、二阶电路的暂态分析。</w:t>
      </w:r>
    </w:p>
    <w:p>
      <w:pPr>
        <w:pStyle w:val="23"/>
        <w:spacing w:line="420" w:lineRule="exact"/>
        <w:ind w:firstLine="480"/>
        <w:rPr>
          <w:rFonts w:ascii="Times New Roman" w:hAnsi="Times New Roman"/>
          <w:b w:val="0"/>
          <w:color w:val="auto"/>
        </w:rPr>
      </w:pPr>
      <w:r>
        <w:rPr>
          <w:rFonts w:ascii="Times New Roman" w:hAnsi="Times New Roman"/>
          <w:b w:val="0"/>
          <w:color w:val="auto"/>
        </w:rPr>
        <w:t>2</w:t>
      </w:r>
      <w:r>
        <w:rPr>
          <w:rFonts w:hint="eastAsia" w:ascii="Times New Roman" w:hAnsi="Times New Roman"/>
          <w:b w:val="0"/>
          <w:color w:val="auto"/>
        </w:rPr>
        <w:t>．重点：一阶电路的全响应和三要素法。</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3</w:t>
      </w:r>
      <w:r>
        <w:rPr>
          <w:rFonts w:hint="eastAsia" w:asciiTheme="minorEastAsia" w:hAnsiTheme="minorEastAsia" w:eastAsiaTheme="minorEastAsia" w:cstheme="minorEastAsia"/>
          <w:color w:val="auto"/>
        </w:rPr>
        <w:t>. 难点：</w:t>
      </w:r>
      <w:r>
        <w:rPr>
          <w:rFonts w:hint="eastAsia" w:ascii="Times New Roman" w:hAnsi="Times New Roman" w:eastAsia="宋体" w:cs="Times New Roman"/>
          <w:color w:val="auto"/>
        </w:rPr>
        <w:t>二阶电路零输入、零状态、全响应</w:t>
      </w:r>
      <w:r>
        <w:rPr>
          <w:rFonts w:hint="eastAsia" w:asciiTheme="minorEastAsia" w:hAnsiTheme="minorEastAsia" w:eastAsiaTheme="minorEastAsia" w:cstheme="minorEastAsia"/>
          <w:color w:val="auto"/>
        </w:rPr>
        <w:t>。</w:t>
      </w:r>
    </w:p>
    <w:p>
      <w:pPr>
        <w:pStyle w:val="18"/>
        <w:spacing w:line="420" w:lineRule="exact"/>
        <w:ind w:firstLine="480" w:firstLineChars="200"/>
        <w:rPr>
          <w:rFonts w:asciiTheme="minorEastAsia" w:hAnsiTheme="minorEastAsia" w:eastAsiaTheme="minorEastAsia" w:cstheme="minorEastAsia"/>
          <w:color w:val="auto"/>
        </w:rPr>
      </w:pPr>
      <w:r>
        <w:rPr>
          <w:rFonts w:asciiTheme="minorEastAsia" w:hAnsiTheme="minorEastAsia" w:eastAsiaTheme="minorEastAsia" w:cstheme="minorEastAsia"/>
          <w:color w:val="auto"/>
        </w:rPr>
        <w:t>4</w:t>
      </w:r>
      <w:r>
        <w:rPr>
          <w:rFonts w:hint="eastAsia" w:asciiTheme="minorEastAsia" w:hAnsiTheme="minorEastAsia" w:eastAsiaTheme="minorEastAsia" w:cstheme="minorEastAsia"/>
          <w:color w:val="auto"/>
        </w:rPr>
        <w:t>. 知识目标：</w:t>
      </w:r>
      <w:r>
        <w:rPr>
          <w:rFonts w:hint="eastAsia" w:ascii="Times New Roman" w:hAnsi="Times New Roman" w:eastAsia="宋体" w:cs="Times New Roman"/>
          <w:color w:val="auto"/>
        </w:rPr>
        <w:t>理解电路的暂态和稳态，激励和响应及时间常数的物理意义，掌握一阶电路零输入、零状态和全响应求解方法，掌握直流一阶电路三要素法；了解二阶电路零输入、零状态、全响应，初步建立系统稳定的概念。</w:t>
      </w:r>
    </w:p>
    <w:p>
      <w:pPr>
        <w:pStyle w:val="23"/>
        <w:spacing w:line="420" w:lineRule="exact"/>
        <w:ind w:firstLine="480"/>
        <w:rPr>
          <w:rFonts w:asciiTheme="minorEastAsia" w:hAnsiTheme="minorEastAsia" w:eastAsiaTheme="minorEastAsia" w:cstheme="minorEastAsia"/>
          <w:b w:val="0"/>
          <w:bCs w:val="0"/>
          <w:color w:val="auto"/>
        </w:rPr>
      </w:pPr>
      <w:r>
        <w:rPr>
          <w:rFonts w:asciiTheme="minorEastAsia" w:hAnsiTheme="minorEastAsia" w:eastAsiaTheme="minorEastAsia" w:cstheme="minorEastAsia"/>
          <w:b w:val="0"/>
          <w:bCs w:val="0"/>
          <w:color w:val="auto"/>
        </w:rPr>
        <w:t>5</w:t>
      </w:r>
      <w:r>
        <w:rPr>
          <w:rFonts w:hint="eastAsia" w:asciiTheme="minorEastAsia" w:hAnsiTheme="minorEastAsia" w:eastAsiaTheme="minorEastAsia" w:cstheme="minorEastAsia"/>
          <w:b w:val="0"/>
          <w:bCs w:val="0"/>
          <w:color w:val="auto"/>
        </w:rPr>
        <w:t>. 能力目标：认识一阶电路</w:t>
      </w:r>
      <w:r>
        <w:rPr>
          <w:rFonts w:asciiTheme="minorEastAsia" w:hAnsiTheme="minorEastAsia" w:eastAsiaTheme="minorEastAsia" w:cstheme="minorEastAsia"/>
          <w:b w:val="0"/>
          <w:bCs w:val="0"/>
          <w:color w:val="auto"/>
        </w:rPr>
        <w:t>在生活中的应用</w:t>
      </w:r>
      <w:r>
        <w:rPr>
          <w:rFonts w:hint="eastAsia" w:asciiTheme="minorEastAsia" w:hAnsiTheme="minorEastAsia" w:eastAsiaTheme="minorEastAsia" w:cstheme="minorEastAsia"/>
          <w:b w:val="0"/>
          <w:bCs w:val="0"/>
          <w:color w:val="auto"/>
        </w:rPr>
        <w:t>以及用</w:t>
      </w:r>
      <w:r>
        <w:rPr>
          <w:rFonts w:hint="eastAsia" w:ascii="Times New Roman" w:hAnsi="Times New Roman" w:cs="Times New Roman"/>
          <w:b w:val="0"/>
          <w:color w:val="auto"/>
        </w:rPr>
        <w:t>二阶电路模拟</w:t>
      </w:r>
      <w:r>
        <w:rPr>
          <w:rFonts w:ascii="Times New Roman" w:hAnsi="Times New Roman" w:cs="Times New Roman"/>
          <w:b w:val="0"/>
          <w:color w:val="auto"/>
        </w:rPr>
        <w:t>或描述系统模型</w:t>
      </w:r>
      <w:r>
        <w:rPr>
          <w:rFonts w:hint="eastAsia" w:asciiTheme="minorEastAsia" w:hAnsiTheme="minorEastAsia" w:eastAsiaTheme="minorEastAsia" w:cstheme="minorEastAsia"/>
          <w:b w:val="0"/>
          <w:bCs w:val="0"/>
          <w:color w:val="auto"/>
        </w:rPr>
        <w:t>。</w:t>
      </w:r>
    </w:p>
    <w:p>
      <w:pPr>
        <w:pStyle w:val="23"/>
        <w:spacing w:line="420" w:lineRule="exact"/>
        <w:ind w:firstLine="480"/>
        <w:rPr>
          <w:rFonts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color w:val="auto"/>
        </w:rPr>
        <w:t>6. 素质目标：通过动态电路的过渡过程与换路定则，体会要想突变，必须改变的思想，领悟改革创新是当代中国最突出、最鲜明的特点，是时代精神的核心，形成学习、掌握技术的兴趣和意愿，具有工程思维与创新精神。</w:t>
      </w:r>
    </w:p>
    <w:p>
      <w:pPr>
        <w:pStyle w:val="18"/>
        <w:spacing w:line="420" w:lineRule="exact"/>
        <w:rPr>
          <w:rFonts w:asciiTheme="majorEastAsia" w:hAnsiTheme="majorEastAsia" w:eastAsiaTheme="majorEastAsia" w:cstheme="majorEastAsia"/>
          <w:b/>
          <w:bCs/>
        </w:rPr>
      </w:pPr>
      <w:r>
        <w:rPr>
          <w:rFonts w:hint="eastAsia" w:asciiTheme="majorEastAsia" w:hAnsiTheme="majorEastAsia" w:eastAsiaTheme="majorEastAsia" w:cstheme="majorEastAsia"/>
          <w:b/>
          <w:bCs/>
          <w:sz w:val="28"/>
          <w:szCs w:val="28"/>
        </w:rPr>
        <w:t>五、教学内容、教学方式与课程目标的支撑关系</w:t>
      </w:r>
    </w:p>
    <w:tbl>
      <w:tblPr>
        <w:tblStyle w:val="11"/>
        <w:tblW w:w="8411" w:type="dxa"/>
        <w:jc w:val="center"/>
        <w:tblLayout w:type="fixed"/>
        <w:tblCellMar>
          <w:top w:w="0" w:type="dxa"/>
          <w:left w:w="57" w:type="dxa"/>
          <w:bottom w:w="0" w:type="dxa"/>
          <w:right w:w="57" w:type="dxa"/>
        </w:tblCellMar>
      </w:tblPr>
      <w:tblGrid>
        <w:gridCol w:w="1347"/>
        <w:gridCol w:w="3381"/>
        <w:gridCol w:w="1276"/>
        <w:gridCol w:w="1276"/>
        <w:gridCol w:w="1131"/>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8"/>
              <w:spacing w:line="360" w:lineRule="auto"/>
              <w:rPr>
                <w:rFonts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b/>
                <w:bCs/>
                <w:color w:val="auto"/>
                <w:sz w:val="21"/>
                <w:szCs w:val="21"/>
              </w:rPr>
              <w:t>课程目标</w:t>
            </w:r>
          </w:p>
        </w:tc>
        <w:tc>
          <w:tcPr>
            <w:tcW w:w="3381"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教学内容</w:t>
            </w:r>
          </w:p>
        </w:tc>
        <w:tc>
          <w:tcPr>
            <w:tcW w:w="3683"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3381" w:type="dxa"/>
            <w:vMerge w:val="continue"/>
            <w:tcBorders>
              <w:top w:val="nil"/>
              <w:left w:val="nil"/>
              <w:bottom w:val="single" w:color="auto" w:sz="4" w:space="0"/>
              <w:right w:val="single" w:color="auto" w:sz="4" w:space="0"/>
            </w:tcBorders>
            <w:vAlign w:val="center"/>
          </w:tcPr>
          <w:p>
            <w:pPr>
              <w:widowControl/>
              <w:jc w:val="left"/>
              <w:rPr>
                <w:rFonts w:asciiTheme="minorEastAsia" w:hAnsiTheme="minorEastAsia" w:cstheme="minorEastAsia"/>
                <w:b/>
                <w:bCs/>
                <w:szCs w:val="21"/>
              </w:rPr>
            </w:pP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线下教学</w:t>
            </w:r>
          </w:p>
        </w:tc>
        <w:tc>
          <w:tcPr>
            <w:tcW w:w="127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混合教学</w:t>
            </w:r>
          </w:p>
        </w:tc>
        <w:tc>
          <w:tcPr>
            <w:tcW w:w="113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heme="minorEastAsia" w:hAnsiTheme="minorEastAsia" w:cstheme="minorEastAsia"/>
                <w:b/>
                <w:bCs/>
                <w:i/>
                <w:iCs/>
                <w:szCs w:val="21"/>
              </w:rPr>
            </w:pPr>
            <w:r>
              <w:rPr>
                <w:rFonts w:hint="eastAsia" w:asciiTheme="minorEastAsia" w:hAnsiTheme="minorEastAsia" w:cstheme="minorEastAsia"/>
                <w:b/>
                <w:bCs/>
                <w:szCs w:val="21"/>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3381" w:type="dxa"/>
            <w:tcBorders>
              <w:top w:val="single" w:color="auto" w:sz="4" w:space="0"/>
              <w:left w:val="nil"/>
              <w:bottom w:val="single" w:color="auto" w:sz="4" w:space="0"/>
              <w:right w:val="single" w:color="auto" w:sz="4" w:space="0"/>
            </w:tcBorders>
            <w:vAlign w:val="center"/>
          </w:tcPr>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内容1：电路的基本概念和定律</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内容2：</w:t>
            </w:r>
            <w:r>
              <w:rPr>
                <w:rFonts w:hint="eastAsia" w:ascii="Times New Roman" w:hAnsi="Times New Roman"/>
              </w:rPr>
              <w:t>电阻电路的一般分析方法</w:t>
            </w:r>
          </w:p>
          <w:p>
            <w:pPr>
              <w:pStyle w:val="3"/>
              <w:adjustRightInd w:val="0"/>
              <w:snapToGrid w:val="0"/>
              <w:ind w:firstLine="0" w:firstLineChars="0"/>
              <w:rPr>
                <w:rFonts w:asciiTheme="minorEastAsia" w:hAnsiTheme="minorEastAsia" w:cstheme="minorEastAsia"/>
                <w:szCs w:val="21"/>
              </w:rPr>
            </w:pPr>
            <w:r>
              <w:rPr>
                <w:rFonts w:hint="eastAsia" w:asciiTheme="minorEastAsia" w:hAnsiTheme="minorEastAsia" w:cstheme="minorEastAsia"/>
                <w:szCs w:val="21"/>
              </w:rPr>
              <w:t>内容3：</w:t>
            </w:r>
            <w:r>
              <w:rPr>
                <w:rFonts w:hint="eastAsia" w:asciiTheme="minorEastAsia" w:hAnsiTheme="minorEastAsia" w:cstheme="minorEastAsia"/>
              </w:rPr>
              <w:t>电路等效及电路定理</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kern w:val="0"/>
                <w:sz w:val="24"/>
              </w:rPr>
            </w:pPr>
            <w:r>
              <w:rPr>
                <w:rFonts w:hint="eastAsia" w:asciiTheme="minorEastAsia" w:hAnsiTheme="minorEastAsia" w:cstheme="minorEastAsia"/>
                <w:b/>
                <w:kern w:val="0"/>
                <w:sz w:val="24"/>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i/>
                <w:iCs/>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3381"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4</w:t>
            </w:r>
            <w:r>
              <w:rPr>
                <w:rFonts w:hint="eastAsia" w:asciiTheme="minorEastAsia" w:hAnsiTheme="minorEastAsia" w:cstheme="minorEastAsia"/>
                <w:szCs w:val="21"/>
              </w:rPr>
              <w:t>：</w:t>
            </w:r>
            <w:r>
              <w:rPr>
                <w:rFonts w:hint="eastAsia" w:ascii="Times New Roman" w:hAnsi="Times New Roman"/>
              </w:rPr>
              <w:t>正弦稳态电路分析</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5</w:t>
            </w:r>
            <w:r>
              <w:rPr>
                <w:rFonts w:hint="eastAsia" w:asciiTheme="minorEastAsia" w:hAnsiTheme="minorEastAsia" w:cstheme="minorEastAsia"/>
                <w:szCs w:val="21"/>
              </w:rPr>
              <w:t>：</w:t>
            </w:r>
            <w:r>
              <w:rPr>
                <w:rFonts w:hint="eastAsia" w:ascii="Times New Roman" w:hAnsi="Times New Roman"/>
              </w:rPr>
              <w:t>电路的频率响应</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
                <w:kern w:val="0"/>
                <w:sz w:val="24"/>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p>
        </w:tc>
        <w:tc>
          <w:tcPr>
            <w:tcW w:w="11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课程目标3</w:t>
            </w:r>
          </w:p>
        </w:tc>
        <w:tc>
          <w:tcPr>
            <w:tcW w:w="3381" w:type="dxa"/>
            <w:tcBorders>
              <w:top w:val="single" w:color="auto" w:sz="4" w:space="0"/>
              <w:left w:val="nil"/>
              <w:bottom w:val="single" w:color="auto" w:sz="4" w:space="0"/>
              <w:right w:val="single" w:color="auto" w:sz="4" w:space="0"/>
            </w:tcBorders>
            <w:vAlign w:val="center"/>
          </w:tcPr>
          <w:p>
            <w:pPr>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6</w:t>
            </w:r>
            <w:r>
              <w:rPr>
                <w:rFonts w:hint="eastAsia" w:asciiTheme="minorEastAsia" w:hAnsiTheme="minorEastAsia" w:cstheme="minorEastAsia"/>
                <w:szCs w:val="21"/>
              </w:rPr>
              <w:t>：</w:t>
            </w:r>
            <w:r>
              <w:rPr>
                <w:rFonts w:hint="eastAsia" w:ascii="Times New Roman" w:hAnsi="Times New Roman"/>
              </w:rPr>
              <w:t>耦合电感、理想变压器及双口网络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7</w:t>
            </w:r>
            <w:r>
              <w:rPr>
                <w:rFonts w:hint="eastAsia" w:asciiTheme="minorEastAsia" w:hAnsiTheme="minorEastAsia" w:cstheme="minorEastAsia"/>
                <w:szCs w:val="21"/>
              </w:rPr>
              <w:t>：</w:t>
            </w:r>
            <w:r>
              <w:rPr>
                <w:rFonts w:hint="eastAsia" w:ascii="Times New Roman" w:hAnsi="Times New Roman"/>
              </w:rPr>
              <w:t>三相电路</w:t>
            </w:r>
          </w:p>
          <w:p>
            <w:pPr>
              <w:autoSpaceDE w:val="0"/>
              <w:snapToGrid w:val="0"/>
              <w:jc w:val="left"/>
              <w:rPr>
                <w:rFonts w:asciiTheme="minorEastAsia" w:hAnsiTheme="minorEastAsia" w:cstheme="minorEastAsia"/>
                <w:sz w:val="24"/>
                <w:szCs w:val="21"/>
              </w:rPr>
            </w:pPr>
            <w:r>
              <w:rPr>
                <w:rFonts w:hint="eastAsia" w:asciiTheme="minorEastAsia" w:hAnsiTheme="minorEastAsia" w:cstheme="minorEastAsia"/>
                <w:szCs w:val="21"/>
              </w:rPr>
              <w:t>内容</w:t>
            </w:r>
            <w:r>
              <w:rPr>
                <w:rFonts w:asciiTheme="minorEastAsia" w:hAnsiTheme="minorEastAsia" w:cstheme="minorEastAsia"/>
                <w:szCs w:val="21"/>
              </w:rPr>
              <w:t>8</w:t>
            </w:r>
            <w:r>
              <w:rPr>
                <w:rFonts w:hint="eastAsia" w:asciiTheme="minorEastAsia" w:hAnsiTheme="minorEastAsia" w:cstheme="minorEastAsia"/>
                <w:szCs w:val="21"/>
              </w:rPr>
              <w:t>：</w:t>
            </w:r>
            <w:r>
              <w:rPr>
                <w:rFonts w:hint="eastAsia" w:ascii="Times New Roman" w:hAnsi="Times New Roman"/>
              </w:rPr>
              <w:t>动态电路的时域分析</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r>
              <w:rPr>
                <w:rFonts w:hint="eastAsia" w:asciiTheme="minorEastAsia" w:hAnsiTheme="minorEastAsia" w:cstheme="minorEastAsia"/>
                <w:b/>
                <w:kern w:val="0"/>
                <w:sz w:val="24"/>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heme="minorEastAsia" w:hAnsiTheme="minorEastAsia" w:cstheme="minorEastAsia"/>
                <w:sz w:val="24"/>
                <w:szCs w:val="21"/>
              </w:rPr>
            </w:pPr>
            <w:r>
              <w:rPr>
                <w:rFonts w:hint="eastAsia" w:asciiTheme="minorEastAsia" w:hAnsiTheme="minorEastAsia" w:cstheme="minorEastAsia"/>
                <w:szCs w:val="21"/>
              </w:rPr>
              <w:t>课程目标</w:t>
            </w:r>
            <w:r>
              <w:rPr>
                <w:rFonts w:asciiTheme="minorEastAsia" w:hAnsiTheme="minorEastAsia" w:cstheme="minorEastAsia"/>
                <w:szCs w:val="21"/>
              </w:rPr>
              <w:t>4</w:t>
            </w:r>
          </w:p>
        </w:tc>
        <w:tc>
          <w:tcPr>
            <w:tcW w:w="3381" w:type="dxa"/>
            <w:tcBorders>
              <w:top w:val="single" w:color="auto" w:sz="4" w:space="0"/>
              <w:left w:val="nil"/>
              <w:bottom w:val="single" w:color="auto" w:sz="4" w:space="0"/>
              <w:right w:val="single" w:color="auto" w:sz="4" w:space="0"/>
            </w:tcBorders>
            <w:vAlign w:val="center"/>
          </w:tcPr>
          <w:p>
            <w:pPr>
              <w:autoSpaceDE w:val="0"/>
              <w:snapToGrid w:val="0"/>
              <w:rPr>
                <w:rFonts w:ascii="宋体" w:hAnsi="宋体" w:eastAsia="宋体" w:cs="Times New Roman"/>
                <w:szCs w:val="21"/>
              </w:rPr>
            </w:pPr>
            <w:r>
              <w:rPr>
                <w:rFonts w:ascii="宋体" w:hAnsi="宋体" w:eastAsia="宋体" w:cs="Times New Roman"/>
                <w:szCs w:val="21"/>
              </w:rPr>
              <w:t>内容1：电路的基本概念和定律</w:t>
            </w:r>
          </w:p>
          <w:p>
            <w:pPr>
              <w:autoSpaceDE w:val="0"/>
              <w:snapToGrid w:val="0"/>
              <w:rPr>
                <w:rFonts w:ascii="宋体" w:hAnsi="宋体" w:eastAsia="宋体" w:cs="Times New Roman"/>
                <w:szCs w:val="21"/>
              </w:rPr>
            </w:pPr>
            <w:r>
              <w:rPr>
                <w:rFonts w:ascii="宋体" w:hAnsi="宋体" w:eastAsia="宋体" w:cs="Times New Roman"/>
                <w:szCs w:val="21"/>
              </w:rPr>
              <w:t>内容2：</w:t>
            </w:r>
            <w:r>
              <w:rPr>
                <w:rFonts w:ascii="宋体" w:hAnsi="宋体" w:eastAsia="宋体" w:cs="Times New Roman"/>
              </w:rPr>
              <w:t>电阻电路的一般分析方法</w:t>
            </w:r>
          </w:p>
          <w:p>
            <w:pPr>
              <w:rPr>
                <w:rFonts w:ascii="宋体" w:hAnsi="宋体" w:eastAsia="宋体"/>
              </w:rPr>
            </w:pPr>
            <w:r>
              <w:rPr>
                <w:rFonts w:ascii="宋体" w:hAnsi="宋体" w:eastAsia="宋体"/>
                <w:szCs w:val="21"/>
              </w:rPr>
              <w:t>内容3：</w:t>
            </w:r>
            <w:r>
              <w:rPr>
                <w:rFonts w:ascii="宋体" w:hAnsi="宋体" w:eastAsia="宋体"/>
              </w:rPr>
              <w:t>电路等效及电路定理</w:t>
            </w:r>
          </w:p>
          <w:p>
            <w:pPr>
              <w:rPr>
                <w:rFonts w:ascii="宋体" w:hAnsi="宋体" w:eastAsia="宋体" w:cs="Times New Roman"/>
                <w:szCs w:val="21"/>
              </w:rPr>
            </w:pPr>
            <w:r>
              <w:rPr>
                <w:rFonts w:ascii="宋体" w:hAnsi="宋体" w:eastAsia="宋体" w:cs="Times New Roman"/>
                <w:szCs w:val="21"/>
              </w:rPr>
              <w:t>内容4：</w:t>
            </w:r>
            <w:r>
              <w:rPr>
                <w:rFonts w:ascii="宋体" w:hAnsi="宋体" w:eastAsia="宋体" w:cs="Times New Roman"/>
              </w:rPr>
              <w:t>正弦稳态电路分析</w:t>
            </w:r>
          </w:p>
          <w:p>
            <w:pPr>
              <w:rPr>
                <w:rFonts w:ascii="宋体" w:hAnsi="宋体" w:eastAsia="宋体" w:cs="Times New Roman"/>
              </w:rPr>
            </w:pPr>
            <w:r>
              <w:rPr>
                <w:rFonts w:ascii="宋体" w:hAnsi="宋体" w:eastAsia="宋体" w:cs="Times New Roman"/>
                <w:szCs w:val="21"/>
              </w:rPr>
              <w:t>内容5：</w:t>
            </w:r>
            <w:r>
              <w:rPr>
                <w:rFonts w:ascii="宋体" w:hAnsi="宋体" w:eastAsia="宋体" w:cs="Times New Roman"/>
              </w:rPr>
              <w:t>电路的频率响应</w:t>
            </w:r>
          </w:p>
          <w:p>
            <w:pPr>
              <w:jc w:val="left"/>
              <w:rPr>
                <w:rFonts w:ascii="宋体" w:hAnsi="宋体" w:eastAsia="宋体" w:cs="Times New Roman"/>
              </w:rPr>
            </w:pPr>
            <w:r>
              <w:rPr>
                <w:rFonts w:ascii="宋体" w:hAnsi="宋体" w:eastAsia="宋体" w:cs="Times New Roman"/>
                <w:szCs w:val="21"/>
              </w:rPr>
              <w:t>内容6：</w:t>
            </w:r>
            <w:r>
              <w:rPr>
                <w:rFonts w:ascii="宋体" w:hAnsi="宋体" w:eastAsia="宋体" w:cs="Times New Roman"/>
              </w:rPr>
              <w:t>耦合电感、理想变压器及双口网络</w:t>
            </w:r>
          </w:p>
          <w:p>
            <w:pPr>
              <w:autoSpaceDE w:val="0"/>
              <w:snapToGrid w:val="0"/>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7</w:t>
            </w:r>
            <w:r>
              <w:rPr>
                <w:rFonts w:hint="eastAsia" w:asciiTheme="minorEastAsia" w:hAnsiTheme="minorEastAsia" w:cstheme="minorEastAsia"/>
                <w:szCs w:val="21"/>
              </w:rPr>
              <w:t>：</w:t>
            </w:r>
            <w:r>
              <w:rPr>
                <w:rFonts w:hint="eastAsia" w:ascii="Times New Roman" w:hAnsi="Times New Roman"/>
              </w:rPr>
              <w:t>三相电路</w:t>
            </w:r>
          </w:p>
          <w:p>
            <w:pPr>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8</w:t>
            </w:r>
            <w:r>
              <w:rPr>
                <w:rFonts w:hint="eastAsia" w:asciiTheme="minorEastAsia" w:hAnsiTheme="minorEastAsia" w:cstheme="minorEastAsia"/>
                <w:szCs w:val="21"/>
              </w:rPr>
              <w:t>：</w:t>
            </w:r>
            <w:r>
              <w:rPr>
                <w:rFonts w:hint="eastAsia" w:ascii="Times New Roman" w:hAnsi="Times New Roman"/>
              </w:rPr>
              <w:t>动态电路的时域分析</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Cs w:val="21"/>
              </w:rPr>
            </w:pPr>
            <w:r>
              <w:rPr>
                <w:rFonts w:hint="eastAsia" w:asciiTheme="minorEastAsia" w:hAnsiTheme="minorEastAsia" w:cstheme="minorEastAsia"/>
                <w:b/>
                <w:kern w:val="0"/>
                <w:sz w:val="24"/>
              </w:rPr>
              <w:t>√</w:t>
            </w:r>
          </w:p>
        </w:tc>
        <w:tc>
          <w:tcPr>
            <w:tcW w:w="1276"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Cs/>
                <w:kern w:val="0"/>
                <w:sz w:val="24"/>
                <w:szCs w:val="21"/>
              </w:rPr>
            </w:pPr>
          </w:p>
        </w:tc>
        <w:tc>
          <w:tcPr>
            <w:tcW w:w="113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heme="minorEastAsia" w:hAnsiTheme="minorEastAsia" w:cstheme="minorEastAsia"/>
                <w:b/>
                <w:bCs/>
                <w:kern w:val="0"/>
                <w:szCs w:val="21"/>
              </w:rPr>
            </w:pPr>
          </w:p>
        </w:tc>
      </w:tr>
    </w:tbl>
    <w:p>
      <w:pPr>
        <w:pStyle w:val="18"/>
        <w:spacing w:line="420" w:lineRule="exact"/>
        <w:rPr>
          <w:rFonts w:asciiTheme="minorHAnsi" w:hAnsiTheme="minorHAnsi" w:eastAsiaTheme="minorEastAsia" w:cstheme="minorBidi"/>
          <w:kern w:val="2"/>
          <w:sz w:val="21"/>
        </w:rPr>
      </w:pPr>
      <w:r>
        <w:rPr>
          <w:rFonts w:hint="eastAsia" w:asciiTheme="majorEastAsia" w:hAnsiTheme="majorEastAsia" w:eastAsiaTheme="majorEastAsia" w:cstheme="majorEastAsia"/>
          <w:b/>
          <w:bCs/>
          <w:sz w:val="28"/>
          <w:szCs w:val="28"/>
        </w:rPr>
        <w:t>六、课程教学方法与学时分配</w:t>
      </w:r>
    </w:p>
    <w:p>
      <w:pPr>
        <w:pStyle w:val="18"/>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 xml:space="preserve">(1) </w:t>
      </w:r>
      <w:r>
        <w:rPr>
          <w:rFonts w:hint="eastAsia" w:ascii="宋体" w:hAnsi="宋体" w:eastAsia="宋体" w:cs="Times New Roman"/>
          <w:color w:val="auto"/>
        </w:rPr>
        <w:t>兴趣培养：引导、激励学生的学习积极性和自主性，多举一些生活中常见电路的实例，展示新的电子方面的科技，使课程更生动，让学生有直观的认识，对课程学习产生兴趣。</w:t>
      </w:r>
    </w:p>
    <w:p>
      <w:pPr>
        <w:pStyle w:val="18"/>
        <w:spacing w:after="55" w:line="420" w:lineRule="exact"/>
        <w:ind w:firstLine="480" w:firstLineChars="200"/>
        <w:rPr>
          <w:rFonts w:ascii="宋体" w:hAnsi="宋体" w:eastAsia="宋体" w:cs="Times New Roman"/>
          <w:color w:val="auto"/>
        </w:rPr>
      </w:pPr>
      <w:r>
        <w:rPr>
          <w:rFonts w:cs="Times New Roman" w:asciiTheme="minorEastAsia" w:hAnsiTheme="minorEastAsia" w:eastAsiaTheme="minorEastAsia"/>
          <w:color w:val="auto"/>
        </w:rPr>
        <w:t>(2) 问题导向，注重运用启发互动式教学方法：以学生为本，设计科学合理的启发互动环节，激发学生思考，让学生积极参与教学活动，成为真正意义上的主体，而教师仅仅是学生学习活动的指导者。</w:t>
      </w:r>
    </w:p>
    <w:p>
      <w:pPr>
        <w:pStyle w:val="18"/>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 xml:space="preserve">(3) </w:t>
      </w:r>
      <w:r>
        <w:rPr>
          <w:rFonts w:hint="eastAsia" w:ascii="宋体" w:hAnsi="宋体" w:eastAsia="宋体" w:cs="Times New Roman"/>
          <w:color w:val="auto"/>
        </w:rPr>
        <w:t>合理安排和组织教学进程：帮助学生建立结构的观点，加强对课程整体的认识。理清电路各种分析方法发展的脉络，深入浅出，循序渐进。</w:t>
      </w:r>
    </w:p>
    <w:p>
      <w:pPr>
        <w:pStyle w:val="18"/>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 xml:space="preserve">(4) </w:t>
      </w:r>
      <w:r>
        <w:rPr>
          <w:rFonts w:cs="Times New Roman" w:asciiTheme="minorEastAsia" w:hAnsiTheme="minorEastAsia" w:eastAsiaTheme="minorEastAsia"/>
          <w:color w:val="auto"/>
        </w:rPr>
        <w:t>采用案例法与研究法，</w:t>
      </w:r>
      <w:r>
        <w:rPr>
          <w:rFonts w:hint="eastAsia" w:cs="Times New Roman" w:asciiTheme="minorEastAsia" w:hAnsiTheme="minorEastAsia" w:eastAsiaTheme="minorEastAsia"/>
          <w:color w:val="auto"/>
        </w:rPr>
        <w:t>在讲到某一专业知识点时引入具有共性的思政专题，通过 PPT 展示案例，然后展开分析和讨论，可以是自身经历，可以是本学科本专业发展过程中的知名人物及其事件等案例。例如：对比中外电子产品以及我国某些电子产品核心技术的缺乏，产生的“卡脖子”问题，结合“中国制造2025”对制造业的人才需求，激发学生家国情怀及科技报国的责任和担当。同时，</w:t>
      </w:r>
      <w:r>
        <w:rPr>
          <w:rFonts w:cs="Times New Roman" w:asciiTheme="minorEastAsia" w:hAnsiTheme="minorEastAsia" w:eastAsiaTheme="minorEastAsia"/>
          <w:color w:val="auto"/>
        </w:rPr>
        <w:t>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pPr>
        <w:pStyle w:val="18"/>
        <w:spacing w:after="55" w:line="420" w:lineRule="exact"/>
        <w:ind w:firstLine="480" w:firstLineChars="200"/>
        <w:rPr>
          <w:rFonts w:ascii="宋体" w:hAnsi="宋体" w:eastAsia="宋体" w:cs="Times New Roman"/>
          <w:color w:val="auto"/>
        </w:rPr>
      </w:pPr>
      <w:r>
        <w:rPr>
          <w:rFonts w:ascii="宋体" w:hAnsi="宋体" w:eastAsia="宋体" w:cs="Times New Roman"/>
          <w:color w:val="auto"/>
        </w:rPr>
        <w:t xml:space="preserve">(5) </w:t>
      </w:r>
      <w:r>
        <w:rPr>
          <w:rFonts w:hint="eastAsia" w:ascii="宋体" w:hAnsi="宋体" w:eastAsia="宋体" w:cs="Times New Roman"/>
          <w:color w:val="auto"/>
        </w:rPr>
        <w:t>多媒体技术广泛应用：将抽象、不易理解的理论基础内容以动态图像演示出来，将抽象的电现象用模拟的方法展示给学生。利用雨课堂</w:t>
      </w:r>
      <w:r>
        <w:rPr>
          <w:rFonts w:ascii="宋体" w:hAnsi="宋体" w:eastAsia="宋体" w:cs="Times New Roman"/>
          <w:color w:val="auto"/>
        </w:rPr>
        <w:t>、</w:t>
      </w:r>
      <w:r>
        <w:rPr>
          <w:rFonts w:hint="eastAsia" w:ascii="宋体" w:hAnsi="宋体" w:eastAsia="宋体" w:cs="Times New Roman"/>
          <w:color w:val="auto"/>
        </w:rPr>
        <w:t>蓝墨云班课推送</w:t>
      </w:r>
      <w:r>
        <w:rPr>
          <w:rFonts w:ascii="宋体" w:hAnsi="宋体" w:eastAsia="宋体" w:cs="Times New Roman"/>
          <w:color w:val="auto"/>
        </w:rPr>
        <w:t>教学相关视频。</w:t>
      </w:r>
    </w:p>
    <w:p>
      <w:pPr>
        <w:pStyle w:val="18"/>
        <w:spacing w:line="420" w:lineRule="exact"/>
        <w:ind w:firstLine="480" w:firstLineChars="200"/>
        <w:rPr>
          <w:rFonts w:ascii="宋体" w:hAnsi="宋体" w:eastAsia="宋体" w:cs="Times New Roman"/>
          <w:color w:val="auto"/>
        </w:rPr>
      </w:pPr>
      <w:r>
        <w:rPr>
          <w:rFonts w:ascii="宋体" w:hAnsi="宋体" w:eastAsia="宋体" w:cs="Times New Roman"/>
          <w:color w:val="auto"/>
        </w:rPr>
        <w:t xml:space="preserve">(6) </w:t>
      </w:r>
      <w:r>
        <w:rPr>
          <w:rFonts w:hint="eastAsia" w:ascii="宋体" w:hAnsi="宋体" w:eastAsia="宋体" w:cs="Times New Roman"/>
          <w:color w:val="auto"/>
        </w:rPr>
        <w:t>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利用雨课堂</w:t>
      </w:r>
      <w:r>
        <w:rPr>
          <w:rFonts w:ascii="宋体" w:hAnsi="宋体" w:eastAsia="宋体" w:cs="Times New Roman"/>
          <w:color w:val="auto"/>
        </w:rPr>
        <w:t>、</w:t>
      </w:r>
      <w:r>
        <w:rPr>
          <w:rFonts w:hint="eastAsia" w:ascii="宋体" w:hAnsi="宋体" w:eastAsia="宋体" w:cs="Times New Roman"/>
          <w:color w:val="auto"/>
        </w:rPr>
        <w:t>蓝墨云班课加强课堂上实时与学生的交流，随时掌握学生的学情信息。</w:t>
      </w:r>
    </w:p>
    <w:p>
      <w:pPr>
        <w:pStyle w:val="18"/>
        <w:spacing w:line="420" w:lineRule="exact"/>
        <w:ind w:firstLine="480" w:firstLineChars="200"/>
        <w:rPr>
          <w:rFonts w:asciiTheme="minorEastAsia" w:hAnsiTheme="minorEastAsia" w:eastAsiaTheme="minorEastAsia" w:cstheme="minorEastAsia"/>
        </w:rPr>
      </w:pPr>
      <w:r>
        <w:rPr>
          <w:rFonts w:ascii="宋体" w:hAnsi="宋体" w:eastAsia="宋体" w:cs="Times New Roman"/>
          <w:color w:val="auto"/>
        </w:rPr>
        <w:t xml:space="preserve">(7) </w:t>
      </w:r>
      <w:r>
        <w:rPr>
          <w:rFonts w:hint="eastAsia" w:ascii="宋体" w:hAnsi="宋体" w:eastAsia="宋体" w:cs="Times New Roman"/>
          <w:color w:val="auto"/>
        </w:rPr>
        <w:t>学会总结：要进行教师总结（思维</w:t>
      </w:r>
      <w:r>
        <w:rPr>
          <w:rFonts w:ascii="宋体" w:hAnsi="宋体" w:eastAsia="宋体" w:cs="Times New Roman"/>
          <w:color w:val="auto"/>
        </w:rPr>
        <w:t>导图</w:t>
      </w:r>
      <w:r>
        <w:rPr>
          <w:rFonts w:hint="eastAsia" w:ascii="宋体" w:hAnsi="宋体" w:eastAsia="宋体" w:cs="Times New Roman"/>
          <w:color w:val="auto"/>
        </w:rPr>
        <w:t>）</w:t>
      </w:r>
      <w:r>
        <w:rPr>
          <w:rFonts w:ascii="宋体" w:hAnsi="宋体" w:eastAsia="宋体" w:cs="Times New Roman"/>
          <w:color w:val="auto"/>
        </w:rPr>
        <w:t>+</w:t>
      </w:r>
      <w:r>
        <w:rPr>
          <w:rFonts w:hint="eastAsia" w:ascii="宋体" w:hAnsi="宋体" w:eastAsia="宋体" w:cs="Times New Roman"/>
          <w:color w:val="auto"/>
        </w:rPr>
        <w:t>学生总结，学会知识的迁移，提高认识问题的层次，也学会使用辩证的思维看待问题。例如，在讲到“</w:t>
      </w:r>
      <w:r>
        <w:rPr>
          <w:rFonts w:hint="eastAsia" w:asciiTheme="minorEastAsia" w:hAnsiTheme="minorEastAsia" w:eastAsiaTheme="minorEastAsia" w:cstheme="minorEastAsia"/>
          <w:color w:val="auto"/>
        </w:rPr>
        <w:t>单口网络的分解方法和等效</w:t>
      </w:r>
      <w:r>
        <w:rPr>
          <w:rFonts w:hint="eastAsia" w:ascii="宋体" w:hAnsi="宋体" w:eastAsia="宋体" w:cs="Times New Roman"/>
          <w:color w:val="auto"/>
        </w:rPr>
        <w:t>”</w:t>
      </w:r>
      <w:r>
        <w:rPr>
          <w:rFonts w:hint="eastAsia" w:asciiTheme="minorEastAsia" w:hAnsiTheme="minorEastAsia" w:eastAsiaTheme="minorEastAsia" w:cstheme="minorEastAsia"/>
          <w:color w:val="auto"/>
        </w:rPr>
        <w:t>的概念</w:t>
      </w:r>
      <w:r>
        <w:rPr>
          <w:rFonts w:hint="eastAsia" w:ascii="宋体" w:hAnsi="宋体" w:eastAsia="宋体" w:cs="Times New Roman"/>
          <w:color w:val="auto"/>
        </w:rPr>
        <w:t>时，引导学生要辩证地看问题，告诫学生，同一问题往往有各种解决方法，不同方法可能殊途同归，遇事不钻牛角尖，辩证地对待人生环境，学会缓解压力，积极乐观对待各种事情，拥有健康的心理。</w:t>
      </w:r>
    </w:p>
    <w:p>
      <w:pPr>
        <w:pStyle w:val="18"/>
        <w:numPr>
          <w:ilvl w:val="0"/>
          <w:numId w:val="1"/>
        </w:numPr>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学时分配</w:t>
      </w:r>
    </w:p>
    <w:tbl>
      <w:tblPr>
        <w:tblStyle w:val="11"/>
        <w:tblW w:w="6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8"/>
        <w:gridCol w:w="735"/>
        <w:gridCol w:w="810"/>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778"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教学内容</w:t>
            </w:r>
          </w:p>
        </w:tc>
        <w:tc>
          <w:tcPr>
            <w:tcW w:w="73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课堂讲授</w:t>
            </w:r>
          </w:p>
        </w:tc>
        <w:tc>
          <w:tcPr>
            <w:tcW w:w="810"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实验</w:t>
            </w:r>
          </w:p>
        </w:tc>
        <w:tc>
          <w:tcPr>
            <w:tcW w:w="765"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上机</w:t>
            </w:r>
          </w:p>
        </w:tc>
        <w:tc>
          <w:tcPr>
            <w:tcW w:w="809" w:type="dxa"/>
            <w:vAlign w:val="center"/>
          </w:tcPr>
          <w:p>
            <w:pPr>
              <w:spacing w:line="420" w:lineRule="exact"/>
              <w:jc w:val="center"/>
              <w:rPr>
                <w:rFonts w:asciiTheme="minorEastAsia" w:hAnsiTheme="minorEastAsia" w:cstheme="minorEastAsia"/>
                <w:b/>
                <w:szCs w:val="21"/>
              </w:rPr>
            </w:pPr>
            <w:r>
              <w:rPr>
                <w:rFonts w:hint="eastAsia" w:asciiTheme="minorEastAsia" w:hAnsiTheme="minorEastAsia" w:cstheme="minorEastAsia"/>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内容1: 电路的基本概念和定律</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内容2：</w:t>
            </w:r>
            <w:r>
              <w:rPr>
                <w:rFonts w:hint="eastAsia" w:ascii="Times New Roman" w:hAnsi="Times New Roman"/>
              </w:rPr>
              <w:t>电阻电路的一般分析方法</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c>
          <w:tcPr>
            <w:tcW w:w="810" w:type="dxa"/>
          </w:tcPr>
          <w:p>
            <w:pPr>
              <w:spacing w:line="276" w:lineRule="auto"/>
              <w:ind w:firstLine="420" w:firstLineChars="200"/>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3</w:t>
            </w:r>
            <w:r>
              <w:rPr>
                <w:rFonts w:hint="eastAsia" w:asciiTheme="minorEastAsia" w:hAnsiTheme="minorEastAsia" w:cstheme="minorEastAsia"/>
                <w:szCs w:val="21"/>
              </w:rPr>
              <w:t>:</w:t>
            </w:r>
            <w:r>
              <w:rPr>
                <w:rFonts w:hint="eastAsia" w:asciiTheme="minorEastAsia" w:hAnsiTheme="minorEastAsia" w:cstheme="minorEastAsia"/>
              </w:rPr>
              <w:t xml:space="preserve"> 电路等效及电路定理</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pPr>
              <w:spacing w:line="276" w:lineRule="auto"/>
              <w:ind w:firstLine="420" w:firstLineChars="200"/>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4</w:t>
            </w:r>
            <w:r>
              <w:rPr>
                <w:rFonts w:hint="eastAsia" w:asciiTheme="minorEastAsia" w:hAnsiTheme="minorEastAsia" w:cstheme="minorEastAsia"/>
                <w:szCs w:val="21"/>
              </w:rPr>
              <w:t>：</w:t>
            </w:r>
            <w:r>
              <w:rPr>
                <w:rFonts w:hint="eastAsia" w:ascii="Times New Roman" w:hAnsi="Times New Roman"/>
              </w:rPr>
              <w:t>正弦稳态电路分析</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c>
          <w:tcPr>
            <w:tcW w:w="810" w:type="dxa"/>
          </w:tcPr>
          <w:p>
            <w:pPr>
              <w:spacing w:line="276" w:lineRule="auto"/>
              <w:ind w:firstLine="420" w:firstLineChars="200"/>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5</w:t>
            </w:r>
            <w:r>
              <w:rPr>
                <w:rFonts w:hint="eastAsia" w:asciiTheme="minorEastAsia" w:hAnsiTheme="minorEastAsia" w:cstheme="minorEastAsia"/>
                <w:szCs w:val="21"/>
              </w:rPr>
              <w:t>:</w:t>
            </w:r>
            <w:r>
              <w:rPr>
                <w:rFonts w:hint="eastAsia" w:ascii="Times New Roman" w:hAnsi="Times New Roman"/>
              </w:rPr>
              <w:t xml:space="preserve"> 电路的频率响应</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pPr>
              <w:spacing w:line="276" w:lineRule="auto"/>
              <w:ind w:firstLine="420" w:firstLineChars="200"/>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6</w:t>
            </w:r>
            <w:r>
              <w:rPr>
                <w:rFonts w:hint="eastAsia" w:asciiTheme="minorEastAsia" w:hAnsiTheme="minorEastAsia" w:cstheme="minorEastAsia"/>
                <w:szCs w:val="21"/>
              </w:rPr>
              <w:t>：</w:t>
            </w:r>
            <w:r>
              <w:rPr>
                <w:rFonts w:hint="eastAsia" w:ascii="Times New Roman" w:hAnsi="Times New Roman"/>
              </w:rPr>
              <w:t>耦合电感、理想变压器及双口网络</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pPr>
              <w:spacing w:line="276" w:lineRule="auto"/>
              <w:ind w:firstLine="420" w:firstLineChars="200"/>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7</w:t>
            </w:r>
            <w:r>
              <w:rPr>
                <w:rFonts w:hint="eastAsia" w:asciiTheme="minorEastAsia" w:hAnsiTheme="minorEastAsia" w:cstheme="minorEastAsia"/>
                <w:szCs w:val="21"/>
              </w:rPr>
              <w:t>:</w:t>
            </w:r>
            <w:r>
              <w:rPr>
                <w:rFonts w:hint="eastAsia" w:ascii="Times New Roman" w:hAnsi="Times New Roman"/>
              </w:rPr>
              <w:t xml:space="preserve"> 三相电路</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tcPr>
          <w:p>
            <w:pPr>
              <w:spacing w:line="276" w:lineRule="auto"/>
              <w:jc w:val="left"/>
              <w:rPr>
                <w:rFonts w:asciiTheme="minorEastAsia" w:hAnsiTheme="minorEastAsia" w:cstheme="minorEastAsia"/>
                <w:szCs w:val="21"/>
              </w:rPr>
            </w:pPr>
            <w:r>
              <w:rPr>
                <w:rFonts w:hint="eastAsia" w:asciiTheme="minorEastAsia" w:hAnsiTheme="minorEastAsia" w:cstheme="minorEastAsia"/>
                <w:szCs w:val="21"/>
              </w:rPr>
              <w:t>内容</w:t>
            </w:r>
            <w:r>
              <w:rPr>
                <w:rFonts w:asciiTheme="minorEastAsia" w:hAnsiTheme="minorEastAsia" w:cstheme="minorEastAsia"/>
                <w:szCs w:val="21"/>
              </w:rPr>
              <w:t>8</w:t>
            </w:r>
            <w:r>
              <w:rPr>
                <w:rFonts w:hint="eastAsia" w:asciiTheme="minorEastAsia" w:hAnsiTheme="minorEastAsia" w:cstheme="minorEastAsia"/>
                <w:szCs w:val="21"/>
              </w:rPr>
              <w:t>：</w:t>
            </w:r>
            <w:r>
              <w:rPr>
                <w:rFonts w:hint="eastAsia" w:ascii="Times New Roman" w:hAnsi="Times New Roman"/>
              </w:rPr>
              <w:t>动态电路的时域分析</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pacing w:line="276"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735"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c>
          <w:tcPr>
            <w:tcW w:w="810" w:type="dxa"/>
          </w:tcPr>
          <w:p>
            <w:pPr>
              <w:spacing w:line="276" w:lineRule="auto"/>
              <w:jc w:val="center"/>
              <w:rPr>
                <w:rFonts w:asciiTheme="minorEastAsia" w:hAnsiTheme="minorEastAsia" w:cstheme="minorEastAsia"/>
                <w:szCs w:val="21"/>
              </w:rPr>
            </w:pPr>
          </w:p>
        </w:tc>
        <w:tc>
          <w:tcPr>
            <w:tcW w:w="765" w:type="dxa"/>
          </w:tcPr>
          <w:p>
            <w:pPr>
              <w:spacing w:line="276" w:lineRule="auto"/>
              <w:ind w:firstLine="420" w:firstLineChars="200"/>
              <w:jc w:val="center"/>
              <w:rPr>
                <w:rFonts w:asciiTheme="minorEastAsia" w:hAnsiTheme="minorEastAsia" w:cstheme="minorEastAsia"/>
                <w:szCs w:val="21"/>
              </w:rPr>
            </w:pPr>
          </w:p>
        </w:tc>
        <w:tc>
          <w:tcPr>
            <w:tcW w:w="809" w:type="dxa"/>
          </w:tcPr>
          <w:p>
            <w:pPr>
              <w:spacing w:line="276" w:lineRule="auto"/>
              <w:jc w:val="center"/>
              <w:rPr>
                <w:rFonts w:asciiTheme="minorEastAsia" w:hAnsiTheme="minorEastAsia" w:cstheme="minorEastAsia"/>
                <w:szCs w:val="21"/>
              </w:rPr>
            </w:pPr>
            <w:r>
              <w:rPr>
                <w:rFonts w:asciiTheme="minorEastAsia" w:hAnsiTheme="minorEastAsia" w:cstheme="minorEastAsia"/>
                <w:szCs w:val="21"/>
              </w:rPr>
              <w:t>64</w:t>
            </w:r>
          </w:p>
        </w:tc>
      </w:tr>
    </w:tbl>
    <w:p>
      <w:pPr>
        <w:pStyle w:val="18"/>
        <w:spacing w:line="420" w:lineRule="exact"/>
        <w:rPr>
          <w:rFonts w:asciiTheme="minorHAnsi" w:hAnsiTheme="minorHAnsi" w:eastAsiaTheme="minorEastAsia" w:cstheme="minorBidi"/>
          <w:kern w:val="2"/>
          <w:sz w:val="21"/>
        </w:rPr>
      </w:pPr>
      <w:r>
        <w:rPr>
          <w:rFonts w:hint="eastAsia" w:asciiTheme="minorEastAsia" w:hAnsiTheme="minorEastAsia" w:eastAsiaTheme="minorEastAsia" w:cstheme="minorEastAsia"/>
          <w:b/>
          <w:bCs/>
          <w:sz w:val="28"/>
          <w:szCs w:val="28"/>
        </w:rPr>
        <w:t>七、课程考核及成绩评定方法</w:t>
      </w:r>
    </w:p>
    <w:p>
      <w:pPr>
        <w:autoSpaceDE w:val="0"/>
        <w:autoSpaceDN w:val="0"/>
        <w:adjustRightInd w:val="0"/>
        <w:spacing w:line="42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kern w:val="0"/>
          <w:sz w:val="24"/>
        </w:rPr>
        <w:t>本门课程采用“N+1”过程性考核的方式进行考核。</w:t>
      </w:r>
    </w:p>
    <w:p>
      <w:pPr>
        <w:autoSpaceDE w:val="0"/>
        <w:autoSpaceDN w:val="0"/>
        <w:adjustRightInd w:val="0"/>
        <w:spacing w:line="420" w:lineRule="exact"/>
        <w:ind w:firstLine="480" w:firstLineChars="200"/>
        <w:jc w:val="left"/>
        <w:rPr>
          <w:rFonts w:ascii="宋体" w:hAnsi="宋体"/>
          <w:kern w:val="0"/>
          <w:sz w:val="24"/>
        </w:rPr>
      </w:pPr>
      <w:r>
        <w:rPr>
          <w:rFonts w:hint="eastAsia" w:ascii="宋体" w:hAnsi="宋体"/>
          <w:kern w:val="0"/>
          <w:sz w:val="24"/>
        </w:rPr>
        <w:t>考核方式：采用</w:t>
      </w:r>
      <w:r>
        <w:rPr>
          <w:rFonts w:ascii="Times New Roman" w:hAnsi="Times New Roman" w:cs="Times New Roman"/>
          <w:kern w:val="0"/>
          <w:sz w:val="24"/>
        </w:rPr>
        <w:t>过程考核（</w:t>
      </w:r>
      <w:r>
        <w:rPr>
          <w:rFonts w:hint="eastAsia" w:ascii="宋体" w:hAnsi="宋体"/>
          <w:kern w:val="0"/>
          <w:sz w:val="24"/>
        </w:rPr>
        <w:t>平时作业、单元测试、期中测试）和期末考试相结合的形式对学生课程成绩进行综合评定。</w:t>
      </w:r>
    </w:p>
    <w:p>
      <w:pPr>
        <w:autoSpaceDE w:val="0"/>
        <w:autoSpaceDN w:val="0"/>
        <w:adjustRightInd w:val="0"/>
        <w:spacing w:line="420" w:lineRule="exact"/>
        <w:ind w:firstLine="480" w:firstLineChars="200"/>
        <w:jc w:val="left"/>
        <w:rPr>
          <w:rFonts w:asciiTheme="minorEastAsia" w:hAnsiTheme="minorEastAsia" w:cstheme="minorEastAsia"/>
          <w:sz w:val="24"/>
        </w:rPr>
      </w:pPr>
      <w:r>
        <w:rPr>
          <w:rFonts w:ascii="Times New Roman" w:cs="Times New Roman" w:hAnsiTheme="minorEastAsia"/>
          <w:bCs/>
          <w:sz w:val="24"/>
        </w:rPr>
        <w:t>成绩评定：</w:t>
      </w:r>
      <w:r>
        <w:rPr>
          <w:rFonts w:hint="eastAsia" w:ascii="宋体" w:hAnsi="宋体"/>
          <w:kern w:val="0"/>
          <w:sz w:val="24"/>
        </w:rPr>
        <w:t>课程考核总成绩中，</w:t>
      </w:r>
      <w:r>
        <w:rPr>
          <w:rFonts w:ascii="Times New Roman" w:cs="Times New Roman" w:hAnsiTheme="minorEastAsia"/>
          <w:kern w:val="0"/>
          <w:sz w:val="24"/>
        </w:rPr>
        <w:t>过程考核占</w:t>
      </w:r>
      <w:r>
        <w:rPr>
          <w:rFonts w:ascii="Times New Roman" w:hAnsi="Times New Roman" w:cs="Times New Roman"/>
          <w:kern w:val="0"/>
          <w:sz w:val="24"/>
        </w:rPr>
        <w:t>50%</w:t>
      </w:r>
      <w:r>
        <w:rPr>
          <w:rFonts w:ascii="Times New Roman" w:cs="Times New Roman" w:hAnsiTheme="minorEastAsia"/>
          <w:kern w:val="0"/>
          <w:sz w:val="24"/>
        </w:rPr>
        <w:t>（</w:t>
      </w:r>
      <w:r>
        <w:rPr>
          <w:rFonts w:hint="eastAsia" w:ascii="宋体" w:hAnsi="宋体"/>
          <w:kern w:val="0"/>
          <w:sz w:val="24"/>
        </w:rPr>
        <w:t>平时作业成绩占</w:t>
      </w:r>
      <w:r>
        <w:rPr>
          <w:rFonts w:ascii="宋体" w:hAnsi="宋体"/>
          <w:kern w:val="0"/>
          <w:sz w:val="24"/>
        </w:rPr>
        <w:t>20%</w:t>
      </w:r>
      <w:r>
        <w:rPr>
          <w:rFonts w:hint="eastAsia" w:ascii="宋体" w:hAnsi="宋体"/>
          <w:kern w:val="0"/>
          <w:sz w:val="24"/>
        </w:rPr>
        <w:t>、单元测试成绩占</w:t>
      </w:r>
      <w:r>
        <w:rPr>
          <w:rFonts w:ascii="宋体" w:hAnsi="宋体"/>
          <w:kern w:val="0"/>
          <w:sz w:val="24"/>
        </w:rPr>
        <w:t>20%</w:t>
      </w:r>
      <w:r>
        <w:rPr>
          <w:rFonts w:hint="eastAsia" w:ascii="宋体" w:hAnsi="宋体"/>
          <w:kern w:val="0"/>
          <w:sz w:val="24"/>
        </w:rPr>
        <w:t>、期中测试成绩占</w:t>
      </w:r>
      <w:r>
        <w:rPr>
          <w:rFonts w:ascii="宋体" w:hAnsi="宋体"/>
          <w:kern w:val="0"/>
          <w:sz w:val="24"/>
        </w:rPr>
        <w:t>10%</w:t>
      </w:r>
      <w:r>
        <w:rPr>
          <w:rFonts w:hint="eastAsia" w:ascii="宋体" w:hAnsi="宋体"/>
          <w:kern w:val="0"/>
          <w:sz w:val="24"/>
        </w:rPr>
        <w:t>），期末考试成绩占</w:t>
      </w:r>
      <w:r>
        <w:rPr>
          <w:rFonts w:ascii="宋体" w:hAnsi="宋体"/>
          <w:kern w:val="0"/>
          <w:sz w:val="24"/>
        </w:rPr>
        <w:t>50%</w:t>
      </w:r>
      <w:r>
        <w:rPr>
          <w:rFonts w:hint="eastAsia" w:ascii="宋体" w:hAnsi="宋体"/>
          <w:kern w:val="0"/>
          <w:sz w:val="24"/>
        </w:rPr>
        <w:t>。</w:t>
      </w:r>
    </w:p>
    <w:p>
      <w:pPr>
        <w:pStyle w:val="18"/>
        <w:spacing w:line="420" w:lineRule="exact"/>
        <w:ind w:firstLine="480" w:firstLineChars="200"/>
        <w:rPr>
          <w:rFonts w:asciiTheme="minorEastAsia" w:hAnsiTheme="minorEastAsia" w:eastAsiaTheme="minorEastAsia" w:cstheme="minorEastAsia"/>
          <w:bCs/>
        </w:rPr>
      </w:pPr>
      <w:r>
        <w:rPr>
          <w:rFonts w:hint="eastAsia" w:asciiTheme="minorEastAsia" w:hAnsiTheme="minorEastAsia" w:eastAsiaTheme="minorEastAsia" w:cstheme="minorEastAsia"/>
        </w:rPr>
        <w:t>课程目标与课程考核环节的对应关系：</w:t>
      </w:r>
    </w:p>
    <w:tbl>
      <w:tblPr>
        <w:tblStyle w:val="11"/>
        <w:tblW w:w="7949" w:type="dxa"/>
        <w:jc w:val="center"/>
        <w:tblLayout w:type="fixed"/>
        <w:tblCellMar>
          <w:top w:w="0" w:type="dxa"/>
          <w:left w:w="57" w:type="dxa"/>
          <w:bottom w:w="0" w:type="dxa"/>
          <w:right w:w="57" w:type="dxa"/>
        </w:tblCellMar>
      </w:tblPr>
      <w:tblGrid>
        <w:gridCol w:w="851"/>
        <w:gridCol w:w="1332"/>
        <w:gridCol w:w="1516"/>
        <w:gridCol w:w="1326"/>
        <w:gridCol w:w="1374"/>
        <w:gridCol w:w="830"/>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课程</w:t>
            </w:r>
          </w:p>
          <w:p>
            <w:pPr>
              <w:autoSpaceDE w:val="0"/>
              <w:spacing w:before="31" w:beforeLines="10" w:after="31" w:afterLines="10"/>
              <w:ind w:right="105" w:rightChars="50" w:firstLine="211" w:firstLineChars="100"/>
              <w:jc w:val="center"/>
              <w:rPr>
                <w:rFonts w:asciiTheme="minorEastAsia" w:hAnsiTheme="minorEastAsia" w:cstheme="minorEastAsia"/>
                <w:b/>
                <w:bCs/>
                <w:szCs w:val="21"/>
              </w:rPr>
            </w:pPr>
            <w:r>
              <w:rPr>
                <w:rFonts w:hint="eastAsia" w:asciiTheme="minorEastAsia" w:hAnsiTheme="minorEastAsia" w:cstheme="minorEastAsia"/>
                <w:b/>
                <w:bCs/>
                <w:szCs w:val="21"/>
              </w:rPr>
              <w:t>目标</w:t>
            </w:r>
          </w:p>
        </w:tc>
        <w:tc>
          <w:tcPr>
            <w:tcW w:w="5046"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heme="minorEastAsia" w:hAnsiTheme="minorEastAsia" w:cstheme="minorEastAsia"/>
                <w:b/>
                <w:bCs/>
                <w:szCs w:val="21"/>
              </w:rPr>
            </w:pPr>
            <w:r>
              <w:rPr>
                <w:rFonts w:hint="eastAsia" w:asciiTheme="minorEastAsia" w:hAnsiTheme="minorEastAsia" w:cstheme="minorEastAsia"/>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heme="minorEastAsia" w:hAnsiTheme="minorEastAsia" w:cstheme="minorEastAsia"/>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c>
          <w:tcPr>
            <w:tcW w:w="1516"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b/>
                <w:bCs/>
                <w:sz w:val="24"/>
              </w:rPr>
            </w:pPr>
            <w:r>
              <w:rPr>
                <w:rFonts w:hint="eastAsia" w:ascii="Times New Roman" w:hAnsi="Times New Roman"/>
                <w:b/>
                <w:bCs/>
                <w:sz w:val="24"/>
              </w:rPr>
              <w:t>平时作业</w:t>
            </w:r>
          </w:p>
        </w:tc>
        <w:tc>
          <w:tcPr>
            <w:tcW w:w="1326"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b/>
                <w:bCs/>
                <w:sz w:val="24"/>
              </w:rPr>
            </w:pPr>
            <w:r>
              <w:rPr>
                <w:rFonts w:hint="eastAsia" w:ascii="Times New Roman" w:hAnsi="Times New Roman"/>
                <w:b/>
                <w:bCs/>
                <w:sz w:val="24"/>
              </w:rPr>
              <w:t>单元测试</w:t>
            </w:r>
          </w:p>
        </w:tc>
        <w:tc>
          <w:tcPr>
            <w:tcW w:w="1374" w:type="dxa"/>
            <w:tcBorders>
              <w:top w:val="single" w:color="auto" w:sz="4" w:space="0"/>
              <w:left w:val="nil"/>
              <w:bottom w:val="single" w:color="auto" w:sz="4" w:space="0"/>
              <w:right w:val="single" w:color="auto" w:sz="4" w:space="0"/>
            </w:tcBorders>
            <w:vAlign w:val="center"/>
          </w:tcPr>
          <w:p>
            <w:pPr>
              <w:autoSpaceDE w:val="0"/>
              <w:jc w:val="center"/>
              <w:rPr>
                <w:rFonts w:ascii="Times New Roman" w:hAnsi="Times New Roman"/>
                <w:b/>
                <w:bCs/>
                <w:sz w:val="24"/>
              </w:rPr>
            </w:pPr>
            <w:r>
              <w:rPr>
                <w:rFonts w:hint="eastAsia" w:ascii="Times New Roman" w:hAnsi="Times New Roman"/>
                <w:b/>
                <w:bCs/>
                <w:sz w:val="24"/>
              </w:rPr>
              <w:t>期中测试</w:t>
            </w:r>
          </w:p>
        </w:tc>
        <w:tc>
          <w:tcPr>
            <w:tcW w:w="830" w:type="dxa"/>
            <w:tcBorders>
              <w:top w:val="single" w:color="auto" w:sz="4" w:space="0"/>
              <w:left w:val="single" w:color="auto" w:sz="4" w:space="0"/>
              <w:bottom w:val="single" w:color="auto" w:sz="4" w:space="0"/>
              <w:right w:val="single" w:color="auto" w:sz="4" w:space="0"/>
            </w:tcBorders>
            <w:vAlign w:val="center"/>
          </w:tcPr>
          <w:p>
            <w:pPr>
              <w:autoSpaceDE w:val="0"/>
              <w:jc w:val="center"/>
              <w:rPr>
                <w:rFonts w:ascii="Times New Roman" w:hAnsi="Times New Roman"/>
                <w:b/>
                <w:bCs/>
                <w:sz w:val="24"/>
              </w:rPr>
            </w:pPr>
            <w:r>
              <w:rPr>
                <w:rFonts w:hint="eastAsia" w:ascii="Times New Roman" w:hAnsi="Times New Roman"/>
                <w:b/>
                <w:bCs/>
                <w:sz w:val="24"/>
              </w:rPr>
              <w:t>期末考试</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heme="minorEastAsia" w:hAnsiTheme="minorEastAsia" w:cstheme="minorEastAsia"/>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课程目标1</w:t>
            </w:r>
          </w:p>
        </w:tc>
        <w:tc>
          <w:tcPr>
            <w:tcW w:w="15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132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10%</w:t>
            </w:r>
          </w:p>
        </w:tc>
        <w:tc>
          <w:tcPr>
            <w:tcW w:w="137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83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15%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35%</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课程目标2</w:t>
            </w:r>
          </w:p>
        </w:tc>
        <w:tc>
          <w:tcPr>
            <w:tcW w:w="15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10%</w:t>
            </w:r>
          </w:p>
        </w:tc>
        <w:tc>
          <w:tcPr>
            <w:tcW w:w="132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137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83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20%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40%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课程目标3</w:t>
            </w:r>
          </w:p>
        </w:tc>
        <w:tc>
          <w:tcPr>
            <w:tcW w:w="15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132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w:t>
            </w:r>
          </w:p>
        </w:tc>
        <w:tc>
          <w:tcPr>
            <w:tcW w:w="137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p>
        </w:tc>
        <w:tc>
          <w:tcPr>
            <w:tcW w:w="83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15%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25%</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heme="minorEastAsia" w:hAnsiTheme="minorEastAsia" w:cstheme="minorEastAsia"/>
                <w:szCs w:val="21"/>
              </w:rPr>
            </w:pPr>
            <w:r>
              <w:rPr>
                <w:rFonts w:hint="eastAsia" w:asciiTheme="minorEastAsia" w:hAnsiTheme="minorEastAsia" w:cstheme="minorEastAsia"/>
                <w:szCs w:val="21"/>
              </w:rPr>
              <w:t>合计</w:t>
            </w:r>
          </w:p>
        </w:tc>
        <w:tc>
          <w:tcPr>
            <w:tcW w:w="151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heme="minorEastAsia" w:hAnsiTheme="minorEastAsia" w:cstheme="minorEastAsia"/>
                <w:szCs w:val="21"/>
              </w:rPr>
            </w:pPr>
            <w:r>
              <w:rPr>
                <w:rFonts w:asciiTheme="minorEastAsia" w:hAnsiTheme="minorEastAsia"/>
                <w:szCs w:val="21"/>
              </w:rPr>
              <w:t>20%</w:t>
            </w:r>
          </w:p>
        </w:tc>
        <w:tc>
          <w:tcPr>
            <w:tcW w:w="1326"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20%</w:t>
            </w:r>
          </w:p>
        </w:tc>
        <w:tc>
          <w:tcPr>
            <w:tcW w:w="137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10%</w:t>
            </w:r>
          </w:p>
        </w:tc>
        <w:tc>
          <w:tcPr>
            <w:tcW w:w="830"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asciiTheme="minorEastAsia" w:hAnsiTheme="minorEastAsia"/>
                <w:szCs w:val="21"/>
              </w:rPr>
              <w:t>50%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heme="minorEastAsia" w:hAnsiTheme="minorEastAsia"/>
                <w:szCs w:val="21"/>
              </w:rPr>
            </w:pPr>
            <w:r>
              <w:rPr>
                <w:rFonts w:hint="eastAsia" w:asciiTheme="minorEastAsia" w:hAnsiTheme="minorEastAsia"/>
                <w:szCs w:val="21"/>
              </w:rPr>
              <w:t>100%</w:t>
            </w:r>
          </w:p>
        </w:tc>
      </w:tr>
    </w:tbl>
    <w:p>
      <w:pPr>
        <w:pStyle w:val="18"/>
        <w:spacing w:line="420" w:lineRule="exact"/>
        <w:ind w:firstLine="48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各考核环节按照附件中的评分标准进行成绩评定。</w:t>
      </w:r>
    </w:p>
    <w:p>
      <w:pPr>
        <w:pStyle w:val="18"/>
        <w:spacing w:line="420" w:lineRule="exact"/>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八、课程参考书目及资源</w:t>
      </w:r>
    </w:p>
    <w:p>
      <w:pPr>
        <w:snapToGrid w:val="0"/>
        <w:spacing w:line="420" w:lineRule="exact"/>
        <w:ind w:firstLine="480" w:firstLineChars="200"/>
        <w:rPr>
          <w:rFonts w:ascii="宋体"/>
          <w:sz w:val="24"/>
        </w:rPr>
      </w:pPr>
      <w:r>
        <w:rPr>
          <w:rFonts w:ascii="宋体" w:hAnsi="宋体"/>
          <w:sz w:val="24"/>
          <w:szCs w:val="20"/>
        </w:rPr>
        <w:t xml:space="preserve">1. </w:t>
      </w:r>
      <w:r>
        <w:rPr>
          <w:rFonts w:hint="eastAsia" w:ascii="宋体" w:hAnsi="宋体"/>
          <w:sz w:val="24"/>
          <w:szCs w:val="20"/>
        </w:rPr>
        <w:t>李瀚荪</w:t>
      </w:r>
      <w:r>
        <w:rPr>
          <w:rFonts w:ascii="宋体"/>
          <w:sz w:val="24"/>
          <w:szCs w:val="20"/>
        </w:rPr>
        <w:t>.</w:t>
      </w:r>
      <w:r>
        <w:fldChar w:fldCharType="begin"/>
      </w:r>
      <w:r>
        <w:instrText xml:space="preserve"> HYPERLINK "http://192.168.24.5:8080/opac/item.php?marc_no=0000312605" \o "查看该书详细信息" </w:instrText>
      </w:r>
      <w:r>
        <w:fldChar w:fldCharType="separate"/>
      </w:r>
      <w:r>
        <w:rPr>
          <w:rFonts w:hint="eastAsia" w:ascii="宋体" w:hAnsi="宋体"/>
          <w:sz w:val="24"/>
        </w:rPr>
        <w:t>电路分析基础</w:t>
      </w:r>
      <w:r>
        <w:rPr>
          <w:rFonts w:hint="eastAsia" w:ascii="宋体" w:hAnsi="宋体"/>
          <w:sz w:val="24"/>
        </w:rPr>
        <w:fldChar w:fldCharType="end"/>
      </w:r>
      <w:r>
        <w:rPr>
          <w:rFonts w:hint="eastAsia" w:ascii="宋体" w:hAnsi="宋体"/>
          <w:sz w:val="24"/>
        </w:rPr>
        <w:t>（第5版）</w:t>
      </w:r>
      <w:r>
        <w:rPr>
          <w:rFonts w:ascii="宋体"/>
          <w:sz w:val="24"/>
          <w:szCs w:val="20"/>
        </w:rPr>
        <w:t>.</w:t>
      </w:r>
      <w:r>
        <w:rPr>
          <w:rFonts w:hint="eastAsia" w:ascii="宋体" w:hAnsi="宋体"/>
          <w:sz w:val="24"/>
          <w:szCs w:val="20"/>
        </w:rPr>
        <w:t>北京：高等教育出版社，</w:t>
      </w:r>
      <w:r>
        <w:rPr>
          <w:rFonts w:ascii="宋体" w:hAnsi="宋体"/>
          <w:sz w:val="24"/>
          <w:szCs w:val="20"/>
        </w:rPr>
        <w:t>20</w:t>
      </w:r>
      <w:r>
        <w:rPr>
          <w:rFonts w:hint="eastAsia" w:ascii="宋体" w:hAnsi="宋体"/>
          <w:sz w:val="24"/>
          <w:szCs w:val="20"/>
        </w:rPr>
        <w:t>17</w:t>
      </w:r>
      <w:r>
        <w:rPr>
          <w:rFonts w:ascii="宋体" w:hAnsi="宋体"/>
          <w:sz w:val="24"/>
          <w:szCs w:val="20"/>
        </w:rPr>
        <w:t>.</w:t>
      </w:r>
    </w:p>
    <w:p>
      <w:pPr>
        <w:adjustRightInd w:val="0"/>
        <w:snapToGrid w:val="0"/>
        <w:spacing w:line="420" w:lineRule="exact"/>
        <w:ind w:firstLine="480" w:firstLineChars="200"/>
        <w:rPr>
          <w:rFonts w:ascii="宋体"/>
          <w:sz w:val="24"/>
        </w:rPr>
      </w:pPr>
      <w:r>
        <w:rPr>
          <w:rFonts w:ascii="宋体" w:hAnsi="宋体"/>
          <w:sz w:val="24"/>
        </w:rPr>
        <w:t xml:space="preserve">2. </w:t>
      </w:r>
      <w:r>
        <w:rPr>
          <w:rFonts w:hint="eastAsia" w:ascii="宋体" w:hAnsi="宋体"/>
          <w:sz w:val="24"/>
        </w:rPr>
        <w:t>邱关源</w:t>
      </w:r>
      <w:r>
        <w:rPr>
          <w:rFonts w:ascii="宋体"/>
          <w:sz w:val="24"/>
        </w:rPr>
        <w:t>.</w:t>
      </w:r>
      <w:r>
        <w:rPr>
          <w:rFonts w:hint="eastAsia" w:ascii="宋体" w:hAnsi="宋体"/>
          <w:sz w:val="24"/>
        </w:rPr>
        <w:t>电路（第</w:t>
      </w:r>
      <w:r>
        <w:rPr>
          <w:rFonts w:ascii="宋体" w:hAnsi="宋体"/>
          <w:sz w:val="24"/>
        </w:rPr>
        <w:t>6</w:t>
      </w:r>
      <w:r>
        <w:rPr>
          <w:rFonts w:hint="eastAsia" w:ascii="宋体" w:hAnsi="宋体"/>
          <w:sz w:val="24"/>
        </w:rPr>
        <w:t>版）</w:t>
      </w:r>
      <w:r>
        <w:rPr>
          <w:rFonts w:ascii="宋体"/>
          <w:sz w:val="24"/>
        </w:rPr>
        <w:t>.</w:t>
      </w:r>
      <w:r>
        <w:rPr>
          <w:rFonts w:hint="eastAsia" w:ascii="宋体" w:hAnsi="宋体"/>
          <w:sz w:val="24"/>
        </w:rPr>
        <w:t>北京：高等教育出版社，</w:t>
      </w:r>
      <w:r>
        <w:rPr>
          <w:rFonts w:ascii="宋体" w:hAnsi="宋体"/>
          <w:sz w:val="24"/>
          <w:szCs w:val="20"/>
        </w:rPr>
        <w:t>2022.</w:t>
      </w:r>
    </w:p>
    <w:p>
      <w:pPr>
        <w:snapToGrid w:val="0"/>
        <w:spacing w:line="420" w:lineRule="exact"/>
        <w:ind w:firstLine="480" w:firstLineChars="200"/>
        <w:rPr>
          <w:rFonts w:ascii="宋体" w:hAnsi="宋体"/>
          <w:sz w:val="24"/>
        </w:rPr>
      </w:pPr>
      <w:r>
        <w:rPr>
          <w:rFonts w:ascii="宋体" w:hAnsi="宋体"/>
          <w:sz w:val="24"/>
        </w:rPr>
        <w:t xml:space="preserve">3. </w:t>
      </w:r>
      <w:r>
        <w:rPr>
          <w:rFonts w:hint="eastAsia" w:ascii="宋体" w:hAnsi="宋体"/>
          <w:sz w:val="24"/>
        </w:rPr>
        <w:t>范世贵</w:t>
      </w:r>
      <w:r>
        <w:rPr>
          <w:rFonts w:ascii="宋体"/>
          <w:sz w:val="24"/>
        </w:rPr>
        <w:t>.</w:t>
      </w:r>
      <w:r>
        <w:rPr>
          <w:rFonts w:hint="eastAsia" w:ascii="宋体" w:hAnsi="宋体"/>
          <w:sz w:val="24"/>
        </w:rPr>
        <w:t>电路考研教案（第</w:t>
      </w:r>
      <w:r>
        <w:rPr>
          <w:rFonts w:ascii="宋体" w:hAnsi="宋体"/>
          <w:sz w:val="24"/>
        </w:rPr>
        <w:t>4</w:t>
      </w:r>
      <w:r>
        <w:rPr>
          <w:rFonts w:hint="eastAsia" w:ascii="宋体" w:hAnsi="宋体"/>
          <w:sz w:val="24"/>
        </w:rPr>
        <w:t>版）</w:t>
      </w:r>
      <w:r>
        <w:rPr>
          <w:rFonts w:ascii="宋体"/>
          <w:sz w:val="24"/>
        </w:rPr>
        <w:t>.</w:t>
      </w:r>
      <w:r>
        <w:rPr>
          <w:rFonts w:hint="eastAsia" w:ascii="宋体" w:hAnsi="宋体"/>
          <w:sz w:val="24"/>
        </w:rPr>
        <w:t>西安：西北工业大学出版社，</w:t>
      </w:r>
      <w:r>
        <w:rPr>
          <w:rFonts w:ascii="宋体" w:hAnsi="宋体"/>
          <w:sz w:val="24"/>
        </w:rPr>
        <w:t>2006.</w:t>
      </w:r>
    </w:p>
    <w:p>
      <w:pPr>
        <w:snapToGrid w:val="0"/>
        <w:spacing w:line="420" w:lineRule="exact"/>
        <w:ind w:firstLine="480" w:firstLineChars="200"/>
        <w:rPr>
          <w:rFonts w:ascii="宋体" w:hAnsi="宋体"/>
          <w:sz w:val="24"/>
        </w:rPr>
      </w:pPr>
      <w:r>
        <w:rPr>
          <w:rFonts w:ascii="宋体" w:hAnsi="宋体"/>
          <w:sz w:val="24"/>
        </w:rPr>
        <w:t xml:space="preserve">4. </w:t>
      </w:r>
      <w:r>
        <w:rPr>
          <w:rFonts w:hint="eastAsia" w:ascii="宋体" w:hAnsi="宋体"/>
          <w:sz w:val="24"/>
        </w:rPr>
        <w:t>陈燕</w:t>
      </w:r>
      <w:r>
        <w:rPr>
          <w:rFonts w:ascii="宋体"/>
          <w:sz w:val="24"/>
        </w:rPr>
        <w:t>.</w:t>
      </w:r>
      <w:r>
        <w:rPr>
          <w:rFonts w:hint="eastAsia" w:ascii="宋体" w:hAnsi="宋体"/>
          <w:sz w:val="24"/>
        </w:rPr>
        <w:t>电路考研精要与典型题解析</w:t>
      </w:r>
      <w:r>
        <w:rPr>
          <w:rFonts w:ascii="宋体"/>
          <w:sz w:val="24"/>
        </w:rPr>
        <w:t>.</w:t>
      </w:r>
      <w:r>
        <w:rPr>
          <w:rFonts w:hint="eastAsia" w:ascii="宋体" w:hAnsi="宋体"/>
          <w:sz w:val="24"/>
        </w:rPr>
        <w:t>西安：西安交通大学出版社，</w:t>
      </w:r>
      <w:r>
        <w:rPr>
          <w:rFonts w:ascii="宋体" w:hAnsi="宋体"/>
          <w:sz w:val="24"/>
        </w:rPr>
        <w:t>2002.</w:t>
      </w:r>
    </w:p>
    <w:p>
      <w:pPr>
        <w:snapToGrid w:val="0"/>
        <w:spacing w:line="420" w:lineRule="exact"/>
        <w:ind w:firstLine="480" w:firstLineChars="200"/>
        <w:rPr>
          <w:rFonts w:ascii="宋体" w:hAnsi="宋体"/>
          <w:sz w:val="24"/>
        </w:rPr>
      </w:pPr>
      <w:r>
        <w:rPr>
          <w:rFonts w:ascii="宋体" w:hAnsi="宋体"/>
          <w:sz w:val="24"/>
        </w:rPr>
        <w:t>5</w:t>
      </w:r>
      <w:r>
        <w:rPr>
          <w:rFonts w:hint="eastAsia" w:ascii="宋体" w:hAnsi="宋体"/>
          <w:sz w:val="24"/>
        </w:rPr>
        <w:t>.</w:t>
      </w:r>
      <w:r>
        <w:t xml:space="preserve"> </w:t>
      </w:r>
      <w:r>
        <w:rPr>
          <w:rFonts w:hint="eastAsia"/>
          <w:sz w:val="24"/>
        </w:rPr>
        <w:t>超星学习通，电路原理，江苏理工学院，</w:t>
      </w:r>
      <w:r>
        <w:fldChar w:fldCharType="begin"/>
      </w:r>
      <w:r>
        <w:instrText xml:space="preserve"> HYPERLINK "http://mooc1.jsut.edu.cn/mycourse/teachercourse?moocId=86871619&amp;clazzid=13924886&amp;edit=true&amp;v=0&amp;cpi=0" </w:instrText>
      </w:r>
      <w:r>
        <w:fldChar w:fldCharType="separate"/>
      </w:r>
      <w:r>
        <w:rPr>
          <w:rStyle w:val="16"/>
          <w:rFonts w:asciiTheme="minorEastAsia" w:hAnsiTheme="minorEastAsia"/>
          <w:sz w:val="24"/>
        </w:rPr>
        <w:t>http://mooc1.jsut.edu.cn/mycourse/teachercourse?moocId=86871619&amp;clazzid=13924886&amp;edit=true&amp;v=0&amp;cpi=0</w:t>
      </w:r>
      <w:r>
        <w:rPr>
          <w:rStyle w:val="16"/>
          <w:rFonts w:asciiTheme="minorEastAsia" w:hAnsiTheme="minorEastAsia"/>
          <w:sz w:val="24"/>
        </w:rPr>
        <w:fldChar w:fldCharType="end"/>
      </w:r>
    </w:p>
    <w:p>
      <w:pPr>
        <w:snapToGrid w:val="0"/>
        <w:spacing w:line="420" w:lineRule="exact"/>
        <w:ind w:firstLine="480" w:firstLineChars="200"/>
        <w:rPr>
          <w:rFonts w:asciiTheme="minorEastAsia" w:hAnsiTheme="minorEastAsia"/>
          <w:sz w:val="24"/>
        </w:rPr>
      </w:pPr>
      <w:r>
        <w:rPr>
          <w:rFonts w:ascii="宋体" w:hAnsi="宋体"/>
          <w:sz w:val="24"/>
        </w:rPr>
        <w:t>6</w:t>
      </w:r>
      <w:r>
        <w:rPr>
          <w:rFonts w:hint="eastAsia" w:ascii="宋体" w:hAnsi="宋体"/>
          <w:sz w:val="24"/>
        </w:rPr>
        <w:t>.</w:t>
      </w:r>
      <w:r>
        <w:rPr>
          <w:rFonts w:hint="eastAsia" w:asciiTheme="minorEastAsia" w:hAnsiTheme="minorEastAsia" w:cstheme="minorEastAsia"/>
          <w:sz w:val="24"/>
        </w:rPr>
        <w:t xml:space="preserve"> 学堂在线国家精品资源共享课，电路原理，清华大学，</w:t>
      </w:r>
      <w:r>
        <w:fldChar w:fldCharType="begin"/>
      </w:r>
      <w:r>
        <w:instrText xml:space="preserve"> HYPERLINK "https://next.xuetangx.com/learn/THU08061000294/THU08061000294/1516684/video/1401373" </w:instrText>
      </w:r>
      <w:r>
        <w:fldChar w:fldCharType="separate"/>
      </w:r>
      <w:r>
        <w:rPr>
          <w:rStyle w:val="16"/>
          <w:rFonts w:asciiTheme="minorEastAsia" w:hAnsiTheme="minorEastAsia"/>
          <w:sz w:val="24"/>
        </w:rPr>
        <w:t>https://next.xuetangx.com/learn/THU08061000294/THU08061000294/1516684/video/1401373</w:t>
      </w:r>
      <w:r>
        <w:rPr>
          <w:rStyle w:val="16"/>
          <w:rFonts w:asciiTheme="minorEastAsia" w:hAnsiTheme="minorEastAsia"/>
          <w:sz w:val="24"/>
        </w:rPr>
        <w:fldChar w:fldCharType="end"/>
      </w:r>
    </w:p>
    <w:p>
      <w:pPr>
        <w:spacing w:line="360" w:lineRule="auto"/>
        <w:rPr>
          <w:rFonts w:asciiTheme="minorEastAsia" w:hAnsiTheme="minorEastAsia" w:cstheme="minorEastAsia"/>
          <w:sz w:val="24"/>
        </w:rPr>
      </w:pPr>
    </w:p>
    <w:p>
      <w:pPr>
        <w:widowControl/>
        <w:jc w:val="left"/>
        <w:rPr>
          <w:rFonts w:asciiTheme="minorEastAsia" w:hAnsiTheme="minorEastAsia" w:cstheme="minorEastAsia"/>
          <w:sz w:val="24"/>
        </w:rPr>
      </w:pPr>
      <w:r>
        <w:rPr>
          <w:rFonts w:hint="eastAsia" w:asciiTheme="minorEastAsia" w:hAnsiTheme="minorEastAsia" w:cstheme="minorEastAsia"/>
          <w:sz w:val="24"/>
        </w:rPr>
        <w:br w:type="page"/>
      </w:r>
    </w:p>
    <w:p>
      <w:pPr>
        <w:spacing w:line="300" w:lineRule="auto"/>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附件：评分标准</w:t>
      </w:r>
    </w:p>
    <w:p>
      <w:pPr>
        <w:spacing w:line="300" w:lineRule="auto"/>
        <w:jc w:val="left"/>
        <w:rPr>
          <w:rFonts w:asciiTheme="minorEastAsia" w:hAnsiTheme="minorEastAsia" w:cstheme="minorEastAsia"/>
          <w:sz w:val="24"/>
        </w:rPr>
      </w:pPr>
      <w:r>
        <w:rPr>
          <w:rFonts w:hint="eastAsia" w:asciiTheme="minorEastAsia" w:hAnsiTheme="minorEastAsia" w:cstheme="minorEastAsia"/>
          <w:sz w:val="24"/>
        </w:rPr>
        <w:t xml:space="preserve"> </w:t>
      </w:r>
    </w:p>
    <w:p>
      <w:pPr>
        <w:numPr>
          <w:ilvl w:val="0"/>
          <w:numId w:val="2"/>
        </w:numPr>
        <w:spacing w:line="30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过程性考核评分标准</w:t>
      </w:r>
    </w:p>
    <w:p>
      <w:pPr>
        <w:spacing w:line="300" w:lineRule="auto"/>
        <w:rPr>
          <w:rFonts w:asciiTheme="minorEastAsia" w:hAnsiTheme="minorEastAsia" w:cstheme="minorEastAsia"/>
          <w:sz w:val="24"/>
        </w:rPr>
      </w:pPr>
    </w:p>
    <w:tbl>
      <w:tblPr>
        <w:tblStyle w:val="11"/>
        <w:tblW w:w="8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538"/>
        <w:gridCol w:w="1312"/>
        <w:gridCol w:w="1513"/>
        <w:gridCol w:w="11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Align w:val="center"/>
          </w:tcPr>
          <w:p>
            <w:pPr>
              <w:pStyle w:val="20"/>
              <w:rPr>
                <w:rFonts w:asciiTheme="minorEastAsia" w:hAnsiTheme="minorEastAsia" w:cstheme="minorEastAsia"/>
                <w:kern w:val="2"/>
                <w:sz w:val="21"/>
                <w:szCs w:val="21"/>
              </w:rPr>
            </w:pPr>
            <w:r>
              <w:rPr>
                <w:rFonts w:hint="eastAsia" w:asciiTheme="minorEastAsia" w:hAnsiTheme="minorEastAsia" w:cstheme="minorEastAsia"/>
                <w:kern w:val="2"/>
                <w:sz w:val="21"/>
                <w:szCs w:val="21"/>
              </w:rPr>
              <w:t>考核环节</w:t>
            </w:r>
          </w:p>
        </w:tc>
        <w:tc>
          <w:tcPr>
            <w:tcW w:w="1538"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优（90～100）</w:t>
            </w:r>
          </w:p>
        </w:tc>
        <w:tc>
          <w:tcPr>
            <w:tcW w:w="1312"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良（80～89）</w:t>
            </w:r>
          </w:p>
        </w:tc>
        <w:tc>
          <w:tcPr>
            <w:tcW w:w="1513"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中等（70～79）</w:t>
            </w:r>
          </w:p>
        </w:tc>
        <w:tc>
          <w:tcPr>
            <w:tcW w:w="1101"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及格（60</w:t>
            </w:r>
          </w:p>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～69）</w:t>
            </w:r>
          </w:p>
        </w:tc>
        <w:tc>
          <w:tcPr>
            <w:tcW w:w="1134" w:type="dxa"/>
            <w:vAlign w:val="center"/>
          </w:tcPr>
          <w:p>
            <w:pPr>
              <w:spacing w:line="240" w:lineRule="exact"/>
              <w:jc w:val="center"/>
              <w:rPr>
                <w:rFonts w:asciiTheme="minorEastAsia" w:hAnsiTheme="minorEastAsia" w:cstheme="minorEastAsia"/>
                <w:b/>
                <w:bCs/>
                <w:szCs w:val="21"/>
              </w:rPr>
            </w:pPr>
            <w:r>
              <w:rPr>
                <w:rFonts w:hint="eastAsia" w:asciiTheme="minorEastAsia" w:hAnsiTheme="minorEastAsia" w:cstheme="minorEastAsia"/>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Merge w:val="restart"/>
            <w:vAlign w:val="center"/>
          </w:tcPr>
          <w:p>
            <w:pPr>
              <w:pStyle w:val="21"/>
              <w:spacing w:line="240" w:lineRule="auto"/>
              <w:jc w:val="center"/>
              <w:rPr>
                <w:rFonts w:asciiTheme="minorEastAsia" w:hAnsiTheme="minorEastAsia" w:cstheme="minorEastAsia"/>
              </w:rPr>
            </w:pPr>
            <w:r>
              <w:rPr>
                <w:rFonts w:hint="eastAsia" w:ascii="Times New Roman" w:hAnsi="Times New Roman"/>
                <w:bCs/>
              </w:rPr>
              <w:t>平时作业</w:t>
            </w:r>
          </w:p>
        </w:tc>
        <w:tc>
          <w:tcPr>
            <w:tcW w:w="1538" w:type="dxa"/>
            <w:vAlign w:val="center"/>
          </w:tcPr>
          <w:p>
            <w:pPr>
              <w:pStyle w:val="21"/>
              <w:spacing w:line="240" w:lineRule="auto"/>
              <w:jc w:val="both"/>
              <w:rPr>
                <w:rFonts w:ascii="Times New Roman" w:hAnsi="Times New Roman"/>
              </w:rPr>
            </w:pPr>
            <w:r>
              <w:rPr>
                <w:rFonts w:hint="eastAsia" w:ascii="Times New Roman" w:hAnsi="Times New Roman"/>
              </w:rPr>
              <w:t>概念清晰，分析得当。</w:t>
            </w:r>
          </w:p>
        </w:tc>
        <w:tc>
          <w:tcPr>
            <w:tcW w:w="1312" w:type="dxa"/>
            <w:vAlign w:val="center"/>
          </w:tcPr>
          <w:p>
            <w:pPr>
              <w:pStyle w:val="21"/>
              <w:spacing w:line="240" w:lineRule="auto"/>
              <w:jc w:val="both"/>
              <w:rPr>
                <w:rFonts w:ascii="Times New Roman" w:hAnsi="Times New Roman"/>
              </w:rPr>
            </w:pPr>
            <w:r>
              <w:rPr>
                <w:rFonts w:hint="eastAsia" w:ascii="Times New Roman" w:hAnsi="Times New Roman"/>
              </w:rPr>
              <w:t>主要概念清晰，但部分分析有误。</w:t>
            </w:r>
          </w:p>
        </w:tc>
        <w:tc>
          <w:tcPr>
            <w:tcW w:w="1513" w:type="dxa"/>
            <w:vAlign w:val="center"/>
          </w:tcPr>
          <w:p>
            <w:pPr>
              <w:pStyle w:val="21"/>
              <w:spacing w:line="240" w:lineRule="auto"/>
              <w:jc w:val="both"/>
              <w:rPr>
                <w:rFonts w:ascii="Times New Roman" w:hAnsi="Times New Roman"/>
              </w:rPr>
            </w:pPr>
            <w:r>
              <w:rPr>
                <w:rFonts w:hint="eastAsia" w:ascii="Times New Roman" w:hAnsi="Times New Roman"/>
              </w:rPr>
              <w:t>部分概念清晰，分析中有明显知识漏洞。</w:t>
            </w:r>
          </w:p>
        </w:tc>
        <w:tc>
          <w:tcPr>
            <w:tcW w:w="1101" w:type="dxa"/>
            <w:vAlign w:val="center"/>
          </w:tcPr>
          <w:p>
            <w:pPr>
              <w:pStyle w:val="21"/>
              <w:spacing w:line="240" w:lineRule="auto"/>
              <w:jc w:val="both"/>
              <w:rPr>
                <w:rFonts w:ascii="Times New Roman" w:hAnsi="Times New Roman"/>
              </w:rPr>
            </w:pPr>
            <w:r>
              <w:rPr>
                <w:rFonts w:hint="eastAsia" w:ascii="Times New Roman" w:hAnsi="Times New Roman"/>
              </w:rPr>
              <w:t>基本概念不清晰。</w:t>
            </w:r>
          </w:p>
        </w:tc>
        <w:tc>
          <w:tcPr>
            <w:tcW w:w="1134" w:type="dxa"/>
            <w:vAlign w:val="center"/>
          </w:tcPr>
          <w:p>
            <w:pPr>
              <w:pStyle w:val="21"/>
              <w:spacing w:line="240" w:lineRule="auto"/>
              <w:jc w:val="both"/>
              <w:rPr>
                <w:rFonts w:ascii="Times New Roman" w:hAnsi="Times New Roman"/>
              </w:rPr>
            </w:pPr>
            <w:r>
              <w:rPr>
                <w:rFonts w:hint="eastAsia" w:ascii="Times New Roman" w:hAnsi="Times New Roman"/>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Merge w:val="continue"/>
            <w:vAlign w:val="center"/>
          </w:tcPr>
          <w:p>
            <w:pPr>
              <w:pStyle w:val="21"/>
              <w:spacing w:line="240" w:lineRule="auto"/>
              <w:jc w:val="center"/>
              <w:rPr>
                <w:rFonts w:ascii="Times New Roman" w:hAnsi="Times New Roman"/>
                <w:bCs/>
              </w:rPr>
            </w:pPr>
          </w:p>
        </w:tc>
        <w:tc>
          <w:tcPr>
            <w:tcW w:w="1538" w:type="dxa"/>
            <w:vAlign w:val="center"/>
          </w:tcPr>
          <w:p>
            <w:pPr>
              <w:pStyle w:val="21"/>
              <w:spacing w:line="240" w:lineRule="auto"/>
              <w:jc w:val="both"/>
              <w:rPr>
                <w:rFonts w:ascii="Times New Roman" w:hAnsi="Times New Roman"/>
              </w:rPr>
            </w:pPr>
            <w:r>
              <w:rPr>
                <w:rFonts w:hint="eastAsia" w:ascii="Times New Roman" w:hAnsi="Times New Roman"/>
              </w:rPr>
              <w:t>方案能够解决问题，思路清晰，计算正确。</w:t>
            </w:r>
          </w:p>
        </w:tc>
        <w:tc>
          <w:tcPr>
            <w:tcW w:w="1312" w:type="dxa"/>
            <w:vAlign w:val="center"/>
          </w:tcPr>
          <w:p>
            <w:pPr>
              <w:pStyle w:val="21"/>
              <w:spacing w:line="240" w:lineRule="auto"/>
              <w:jc w:val="both"/>
              <w:rPr>
                <w:rFonts w:ascii="Times New Roman" w:hAnsi="Times New Roman"/>
              </w:rPr>
            </w:pPr>
            <w:r>
              <w:rPr>
                <w:rFonts w:hint="eastAsia" w:ascii="Times New Roman" w:hAnsi="Times New Roman"/>
              </w:rPr>
              <w:t>方案主要思路、过程和计算过程正确。</w:t>
            </w:r>
          </w:p>
        </w:tc>
        <w:tc>
          <w:tcPr>
            <w:tcW w:w="1513" w:type="dxa"/>
            <w:vAlign w:val="center"/>
          </w:tcPr>
          <w:p>
            <w:pPr>
              <w:pStyle w:val="21"/>
              <w:spacing w:line="240" w:lineRule="auto"/>
              <w:jc w:val="both"/>
              <w:rPr>
                <w:rFonts w:ascii="Times New Roman" w:hAnsi="Times New Roman"/>
              </w:rPr>
            </w:pPr>
            <w:r>
              <w:rPr>
                <w:rFonts w:hint="eastAsia" w:ascii="Times New Roman" w:hAnsi="Times New Roman"/>
              </w:rPr>
              <w:t>方案部分可行。</w:t>
            </w:r>
          </w:p>
        </w:tc>
        <w:tc>
          <w:tcPr>
            <w:tcW w:w="1101" w:type="dxa"/>
            <w:vAlign w:val="center"/>
          </w:tcPr>
          <w:p>
            <w:pPr>
              <w:pStyle w:val="21"/>
              <w:spacing w:line="240" w:lineRule="auto"/>
              <w:jc w:val="both"/>
              <w:rPr>
                <w:rFonts w:ascii="Times New Roman" w:hAnsi="Times New Roman"/>
              </w:rPr>
            </w:pPr>
            <w:r>
              <w:rPr>
                <w:rFonts w:hint="eastAsia" w:ascii="Times New Roman" w:hAnsi="Times New Roman"/>
              </w:rPr>
              <w:t>尚能制定方案。</w:t>
            </w:r>
          </w:p>
        </w:tc>
        <w:tc>
          <w:tcPr>
            <w:tcW w:w="1134" w:type="dxa"/>
            <w:vAlign w:val="center"/>
          </w:tcPr>
          <w:p>
            <w:pPr>
              <w:pStyle w:val="21"/>
              <w:spacing w:line="240" w:lineRule="auto"/>
              <w:jc w:val="both"/>
              <w:rPr>
                <w:rFonts w:ascii="Times New Roman" w:hAnsi="Times New Roman"/>
              </w:rPr>
            </w:pPr>
            <w:r>
              <w:rPr>
                <w:rFonts w:hint="eastAsia" w:ascii="Times New Roman" w:hAnsi="Times New Roman"/>
              </w:rPr>
              <w:t>不能制定方案。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8" w:type="dxa"/>
            <w:vMerge w:val="continue"/>
            <w:vAlign w:val="center"/>
          </w:tcPr>
          <w:p>
            <w:pPr>
              <w:pStyle w:val="21"/>
              <w:spacing w:line="240" w:lineRule="auto"/>
              <w:jc w:val="center"/>
              <w:rPr>
                <w:rFonts w:ascii="Times New Roman" w:hAnsi="Times New Roman"/>
                <w:bCs/>
              </w:rPr>
            </w:pPr>
          </w:p>
        </w:tc>
        <w:tc>
          <w:tcPr>
            <w:tcW w:w="1538" w:type="dxa"/>
            <w:vAlign w:val="center"/>
          </w:tcPr>
          <w:p>
            <w:pPr>
              <w:pStyle w:val="21"/>
              <w:spacing w:line="240" w:lineRule="auto"/>
              <w:jc w:val="both"/>
              <w:rPr>
                <w:rFonts w:ascii="Times New Roman" w:hAnsi="Times New Roman"/>
              </w:rPr>
            </w:pPr>
            <w:r>
              <w:rPr>
                <w:rFonts w:hint="eastAsia" w:ascii="Times New Roman" w:hAnsi="Times New Roman"/>
              </w:rPr>
              <w:t>书写工整、清晰，符号、单位等按规范执行。</w:t>
            </w:r>
          </w:p>
        </w:tc>
        <w:tc>
          <w:tcPr>
            <w:tcW w:w="1312" w:type="dxa"/>
            <w:vAlign w:val="center"/>
          </w:tcPr>
          <w:p>
            <w:pPr>
              <w:pStyle w:val="21"/>
              <w:spacing w:line="240" w:lineRule="auto"/>
              <w:jc w:val="both"/>
              <w:rPr>
                <w:rFonts w:ascii="Times New Roman" w:hAnsi="Times New Roman"/>
              </w:rPr>
            </w:pPr>
            <w:r>
              <w:rPr>
                <w:rFonts w:hint="eastAsia" w:ascii="Times New Roman" w:hAnsi="Times New Roman"/>
              </w:rPr>
              <w:t>书写清晰，主要符号、单位等按规范执行。</w:t>
            </w:r>
          </w:p>
        </w:tc>
        <w:tc>
          <w:tcPr>
            <w:tcW w:w="1513" w:type="dxa"/>
            <w:vAlign w:val="center"/>
          </w:tcPr>
          <w:p>
            <w:pPr>
              <w:pStyle w:val="21"/>
              <w:spacing w:line="240" w:lineRule="auto"/>
              <w:jc w:val="both"/>
              <w:rPr>
                <w:rFonts w:ascii="Times New Roman" w:hAnsi="Times New Roman"/>
              </w:rPr>
            </w:pPr>
            <w:r>
              <w:rPr>
                <w:rFonts w:hint="eastAsia" w:ascii="Times New Roman" w:hAnsi="Times New Roman"/>
              </w:rPr>
              <w:t>能辨识，部分符号、单位等按规范执行。</w:t>
            </w:r>
          </w:p>
        </w:tc>
        <w:tc>
          <w:tcPr>
            <w:tcW w:w="1101" w:type="dxa"/>
            <w:vAlign w:val="center"/>
          </w:tcPr>
          <w:p>
            <w:pPr>
              <w:pStyle w:val="21"/>
              <w:spacing w:line="240" w:lineRule="auto"/>
              <w:jc w:val="both"/>
              <w:rPr>
                <w:rFonts w:ascii="Times New Roman" w:hAnsi="Times New Roman"/>
              </w:rPr>
            </w:pPr>
            <w:r>
              <w:rPr>
                <w:rFonts w:hint="eastAsia" w:ascii="Times New Roman" w:hAnsi="Times New Roman"/>
              </w:rPr>
              <w:t>不能辨识，符号、单位等不按照规范。</w:t>
            </w:r>
          </w:p>
        </w:tc>
        <w:tc>
          <w:tcPr>
            <w:tcW w:w="1134" w:type="dxa"/>
            <w:vAlign w:val="center"/>
          </w:tcPr>
          <w:p>
            <w:pPr>
              <w:pStyle w:val="21"/>
              <w:spacing w:line="240" w:lineRule="auto"/>
              <w:jc w:val="both"/>
              <w:rPr>
                <w:rFonts w:ascii="Times New Roman" w:hAnsi="Times New Roman"/>
              </w:rPr>
            </w:pPr>
            <w:r>
              <w:rPr>
                <w:rFonts w:hint="eastAsia" w:ascii="Times New Roman" w:hAnsi="Times New Roman"/>
              </w:rPr>
              <w:t>作业不完整或未交。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648" w:type="dxa"/>
            <w:vAlign w:val="center"/>
          </w:tcPr>
          <w:p>
            <w:pPr>
              <w:pStyle w:val="21"/>
              <w:spacing w:line="240" w:lineRule="auto"/>
              <w:jc w:val="center"/>
              <w:rPr>
                <w:rFonts w:asciiTheme="minorEastAsia" w:hAnsiTheme="minorEastAsia" w:cstheme="minorEastAsia"/>
              </w:rPr>
            </w:pPr>
            <w:r>
              <w:rPr>
                <w:rFonts w:hint="eastAsia" w:ascii="Times New Roman" w:hAnsi="Times New Roman"/>
                <w:bCs/>
              </w:rPr>
              <w:t>单元测试</w:t>
            </w:r>
          </w:p>
        </w:tc>
        <w:tc>
          <w:tcPr>
            <w:tcW w:w="6598" w:type="dxa"/>
            <w:gridSpan w:val="5"/>
            <w:vAlign w:val="center"/>
          </w:tcPr>
          <w:p>
            <w:pPr>
              <w:jc w:val="left"/>
              <w:rPr>
                <w:rFonts w:asciiTheme="minorEastAsia" w:hAnsiTheme="minorEastAsia" w:cstheme="minorEastAsia"/>
                <w:szCs w:val="21"/>
              </w:rPr>
            </w:pPr>
            <w:r>
              <w:rPr>
                <w:rFonts w:hint="eastAsia" w:ascii="Times New Roman" w:hAnsi="Times New Roman"/>
              </w:rPr>
              <w:t>按单元测试参考答案评分标准判定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1648" w:type="dxa"/>
            <w:vAlign w:val="center"/>
          </w:tcPr>
          <w:p>
            <w:pPr>
              <w:pStyle w:val="21"/>
              <w:spacing w:line="240" w:lineRule="auto"/>
              <w:jc w:val="center"/>
              <w:rPr>
                <w:rFonts w:ascii="Times New Roman" w:hAnsi="Times New Roman"/>
                <w:bCs/>
              </w:rPr>
            </w:pPr>
            <w:r>
              <w:rPr>
                <w:rFonts w:hint="eastAsia" w:ascii="Times New Roman" w:hAnsi="Times New Roman"/>
                <w:bCs/>
              </w:rPr>
              <w:t>期中</w:t>
            </w:r>
            <w:r>
              <w:rPr>
                <w:rFonts w:ascii="Times New Roman" w:hAnsi="Times New Roman"/>
                <w:bCs/>
              </w:rPr>
              <w:t>测试</w:t>
            </w:r>
          </w:p>
        </w:tc>
        <w:tc>
          <w:tcPr>
            <w:tcW w:w="6598" w:type="dxa"/>
            <w:gridSpan w:val="5"/>
            <w:vAlign w:val="center"/>
          </w:tcPr>
          <w:p>
            <w:pPr>
              <w:jc w:val="left"/>
              <w:rPr>
                <w:rFonts w:ascii="Times New Roman" w:hAnsi="Times New Roman"/>
              </w:rPr>
            </w:pPr>
            <w:r>
              <w:rPr>
                <w:rFonts w:hint="eastAsia" w:ascii="Times New Roman" w:hAnsi="Times New Roman"/>
              </w:rPr>
              <w:t>按期中测试参考答案评分标准判定</w:t>
            </w:r>
          </w:p>
        </w:tc>
      </w:tr>
    </w:tbl>
    <w:p>
      <w:pPr>
        <w:pStyle w:val="18"/>
        <w:spacing w:line="420" w:lineRule="exact"/>
        <w:rPr>
          <w:rFonts w:asciiTheme="minorEastAsia" w:hAnsiTheme="minorEastAsia" w:eastAsiaTheme="minorEastAsia" w:cstheme="minorEastAsia"/>
          <w:sz w:val="21"/>
          <w:szCs w:val="21"/>
        </w:rPr>
      </w:pPr>
    </w:p>
    <w:p>
      <w:pPr>
        <w:numPr>
          <w:ilvl w:val="0"/>
          <w:numId w:val="2"/>
        </w:numPr>
        <w:spacing w:line="300" w:lineRule="auto"/>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期末考试评分标准</w:t>
      </w:r>
    </w:p>
    <w:p>
      <w:pPr>
        <w:tabs>
          <w:tab w:val="left" w:pos="705"/>
        </w:tabs>
        <w:spacing w:line="400" w:lineRule="exact"/>
        <w:ind w:firstLine="424" w:firstLineChars="177"/>
        <w:rPr>
          <w:rFonts w:asciiTheme="minorEastAsia" w:hAnsiTheme="minorEastAsia" w:cstheme="minorEastAsia"/>
          <w:szCs w:val="21"/>
        </w:rPr>
      </w:pPr>
      <w:r>
        <w:rPr>
          <w:rFonts w:ascii="Times New Roman" w:hAnsi="Times New Roman" w:eastAsia="宋体" w:cs="Times New Roman"/>
          <w:sz w:val="24"/>
        </w:rPr>
        <w:t>考核环节中期末</w:t>
      </w:r>
      <w:r>
        <w:rPr>
          <w:rFonts w:hint="eastAsia" w:ascii="Times New Roman" w:hAnsi="Times New Roman" w:eastAsia="宋体" w:cs="Times New Roman"/>
          <w:sz w:val="24"/>
        </w:rPr>
        <w:t>考试</w:t>
      </w:r>
      <w:r>
        <w:rPr>
          <w:rFonts w:ascii="Times New Roman" w:hAnsi="Times New Roman" w:eastAsia="宋体" w:cs="Times New Roman"/>
          <w:sz w:val="24"/>
        </w:rPr>
        <w:t>试卷评分标准详见每学期</w:t>
      </w:r>
      <w:r>
        <w:rPr>
          <w:rFonts w:ascii="Times New Roman" w:hAnsi="Times New Roman" w:cs="Times New Roman"/>
          <w:sz w:val="24"/>
        </w:rPr>
        <w:t xml:space="preserve"> “</w:t>
      </w:r>
      <w:r>
        <w:rPr>
          <w:rFonts w:hint="eastAsia" w:ascii="Times New Roman" w:hAnsi="Times New Roman" w:cs="Times New Roman"/>
          <w:sz w:val="24"/>
        </w:rPr>
        <w:t>电路原理</w:t>
      </w:r>
      <w:r>
        <w:rPr>
          <w:rFonts w:ascii="Times New Roman" w:hAnsi="Times New Roman" w:cs="Times New Roman"/>
          <w:sz w:val="24"/>
        </w:rPr>
        <w:t>试卷参考答案及评分标准”。</w:t>
      </w:r>
    </w:p>
    <w:p>
      <w:pPr>
        <w:tabs>
          <w:tab w:val="left" w:pos="705"/>
        </w:tabs>
        <w:spacing w:line="400" w:lineRule="exact"/>
        <w:rPr>
          <w:rFonts w:asciiTheme="minorEastAsia" w:hAnsiTheme="minorEastAsia" w:cstheme="minorEastAsia"/>
          <w:szCs w:val="21"/>
        </w:rPr>
      </w:pPr>
    </w:p>
    <w:sectPr>
      <w:headerReference r:id="rId3" w:type="default"/>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大宋简">
    <w:panose1 w:val="02010609000101010101"/>
    <w:charset w:val="86"/>
    <w:family w:val="modern"/>
    <w:pitch w:val="default"/>
    <w:sig w:usb0="00000001" w:usb1="080E0800" w:usb2="00000002"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0000000000000000000"/>
    <w:charset w:val="86"/>
    <w:family w:val="roma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NmM1NmExY2UwYmRiMjI5MTkyNTQwOWVhOTFlYjE0MjEifQ=="/>
  </w:docVars>
  <w:rsids>
    <w:rsidRoot w:val="5CC60D83"/>
    <w:rsid w:val="00010AB7"/>
    <w:rsid w:val="00030590"/>
    <w:rsid w:val="00046142"/>
    <w:rsid w:val="00072B62"/>
    <w:rsid w:val="00084EF8"/>
    <w:rsid w:val="000B0576"/>
    <w:rsid w:val="000B1450"/>
    <w:rsid w:val="000C43B1"/>
    <w:rsid w:val="000D3A42"/>
    <w:rsid w:val="000F34DA"/>
    <w:rsid w:val="001159F2"/>
    <w:rsid w:val="00120166"/>
    <w:rsid w:val="00152DD9"/>
    <w:rsid w:val="00154CBD"/>
    <w:rsid w:val="00156306"/>
    <w:rsid w:val="00156B76"/>
    <w:rsid w:val="00163109"/>
    <w:rsid w:val="00163863"/>
    <w:rsid w:val="00167E3B"/>
    <w:rsid w:val="0018040D"/>
    <w:rsid w:val="00184FC4"/>
    <w:rsid w:val="00193F10"/>
    <w:rsid w:val="001A4787"/>
    <w:rsid w:val="001C2FC4"/>
    <w:rsid w:val="001D6E15"/>
    <w:rsid w:val="001E5EB2"/>
    <w:rsid w:val="0020318E"/>
    <w:rsid w:val="002126DA"/>
    <w:rsid w:val="00234391"/>
    <w:rsid w:val="00243EE3"/>
    <w:rsid w:val="00250781"/>
    <w:rsid w:val="0026539B"/>
    <w:rsid w:val="00274875"/>
    <w:rsid w:val="00290488"/>
    <w:rsid w:val="00290639"/>
    <w:rsid w:val="002C041A"/>
    <w:rsid w:val="002D285A"/>
    <w:rsid w:val="002D31F1"/>
    <w:rsid w:val="002E5A56"/>
    <w:rsid w:val="00300934"/>
    <w:rsid w:val="003038D2"/>
    <w:rsid w:val="00330FB9"/>
    <w:rsid w:val="00331ABD"/>
    <w:rsid w:val="003415B5"/>
    <w:rsid w:val="0035399A"/>
    <w:rsid w:val="00356DB0"/>
    <w:rsid w:val="003A5D19"/>
    <w:rsid w:val="003E0377"/>
    <w:rsid w:val="003F4B27"/>
    <w:rsid w:val="00405114"/>
    <w:rsid w:val="00415050"/>
    <w:rsid w:val="004346D2"/>
    <w:rsid w:val="00435874"/>
    <w:rsid w:val="0045526E"/>
    <w:rsid w:val="00461EEE"/>
    <w:rsid w:val="00487376"/>
    <w:rsid w:val="004A11C1"/>
    <w:rsid w:val="004B044E"/>
    <w:rsid w:val="004D75E3"/>
    <w:rsid w:val="004E0920"/>
    <w:rsid w:val="004F744B"/>
    <w:rsid w:val="00512914"/>
    <w:rsid w:val="00522604"/>
    <w:rsid w:val="00530CD9"/>
    <w:rsid w:val="0053182F"/>
    <w:rsid w:val="00550FE6"/>
    <w:rsid w:val="005759F0"/>
    <w:rsid w:val="0059209C"/>
    <w:rsid w:val="00595BFB"/>
    <w:rsid w:val="005C2034"/>
    <w:rsid w:val="005C70A8"/>
    <w:rsid w:val="005C7547"/>
    <w:rsid w:val="005E7A8C"/>
    <w:rsid w:val="005F16B7"/>
    <w:rsid w:val="005F6A86"/>
    <w:rsid w:val="00604152"/>
    <w:rsid w:val="00634704"/>
    <w:rsid w:val="006703B4"/>
    <w:rsid w:val="00675DE7"/>
    <w:rsid w:val="00687936"/>
    <w:rsid w:val="00692EDD"/>
    <w:rsid w:val="006B5C0B"/>
    <w:rsid w:val="00715BB1"/>
    <w:rsid w:val="00717446"/>
    <w:rsid w:val="00720F25"/>
    <w:rsid w:val="007242CE"/>
    <w:rsid w:val="0072775E"/>
    <w:rsid w:val="007461C7"/>
    <w:rsid w:val="00754391"/>
    <w:rsid w:val="00764342"/>
    <w:rsid w:val="00775823"/>
    <w:rsid w:val="00777B8B"/>
    <w:rsid w:val="00780200"/>
    <w:rsid w:val="007B6F1B"/>
    <w:rsid w:val="007C4FE1"/>
    <w:rsid w:val="007E3D1F"/>
    <w:rsid w:val="007E6848"/>
    <w:rsid w:val="007F25BA"/>
    <w:rsid w:val="007F32E2"/>
    <w:rsid w:val="00817CC9"/>
    <w:rsid w:val="00823B9E"/>
    <w:rsid w:val="00826E57"/>
    <w:rsid w:val="00827BEA"/>
    <w:rsid w:val="00835D86"/>
    <w:rsid w:val="00853F14"/>
    <w:rsid w:val="00854ABD"/>
    <w:rsid w:val="00871680"/>
    <w:rsid w:val="008919BE"/>
    <w:rsid w:val="0089214E"/>
    <w:rsid w:val="00892E1C"/>
    <w:rsid w:val="008E4BB1"/>
    <w:rsid w:val="008F09D7"/>
    <w:rsid w:val="00927D85"/>
    <w:rsid w:val="00957CFC"/>
    <w:rsid w:val="00967D7E"/>
    <w:rsid w:val="00987FCE"/>
    <w:rsid w:val="009E5C86"/>
    <w:rsid w:val="00A06DD1"/>
    <w:rsid w:val="00A2024B"/>
    <w:rsid w:val="00A27BEE"/>
    <w:rsid w:val="00A439AE"/>
    <w:rsid w:val="00A43E7E"/>
    <w:rsid w:val="00A45831"/>
    <w:rsid w:val="00A47B3B"/>
    <w:rsid w:val="00A52EF5"/>
    <w:rsid w:val="00A63247"/>
    <w:rsid w:val="00A827AA"/>
    <w:rsid w:val="00AA0BE5"/>
    <w:rsid w:val="00AA0F41"/>
    <w:rsid w:val="00AB28F4"/>
    <w:rsid w:val="00AE3206"/>
    <w:rsid w:val="00B10C8A"/>
    <w:rsid w:val="00B16538"/>
    <w:rsid w:val="00B40BAE"/>
    <w:rsid w:val="00B4403C"/>
    <w:rsid w:val="00B60291"/>
    <w:rsid w:val="00BE2BE9"/>
    <w:rsid w:val="00C01E71"/>
    <w:rsid w:val="00C02B08"/>
    <w:rsid w:val="00C10C15"/>
    <w:rsid w:val="00C13294"/>
    <w:rsid w:val="00C43BE8"/>
    <w:rsid w:val="00C472A7"/>
    <w:rsid w:val="00C50700"/>
    <w:rsid w:val="00C71A86"/>
    <w:rsid w:val="00C864C1"/>
    <w:rsid w:val="00CA4BFD"/>
    <w:rsid w:val="00CD4275"/>
    <w:rsid w:val="00CE0661"/>
    <w:rsid w:val="00CF1078"/>
    <w:rsid w:val="00D13C2E"/>
    <w:rsid w:val="00D30B50"/>
    <w:rsid w:val="00D4740F"/>
    <w:rsid w:val="00D5041A"/>
    <w:rsid w:val="00D629AF"/>
    <w:rsid w:val="00D671F5"/>
    <w:rsid w:val="00D7605C"/>
    <w:rsid w:val="00D8214D"/>
    <w:rsid w:val="00D85079"/>
    <w:rsid w:val="00D94578"/>
    <w:rsid w:val="00DB273D"/>
    <w:rsid w:val="00DC1DF6"/>
    <w:rsid w:val="00DD270E"/>
    <w:rsid w:val="00DD5B27"/>
    <w:rsid w:val="00E324B3"/>
    <w:rsid w:val="00E339C3"/>
    <w:rsid w:val="00E43552"/>
    <w:rsid w:val="00E53CA9"/>
    <w:rsid w:val="00E56227"/>
    <w:rsid w:val="00E8417E"/>
    <w:rsid w:val="00E864B5"/>
    <w:rsid w:val="00E8673E"/>
    <w:rsid w:val="00E86D37"/>
    <w:rsid w:val="00E97416"/>
    <w:rsid w:val="00EA3B2F"/>
    <w:rsid w:val="00EB632C"/>
    <w:rsid w:val="00EE21F6"/>
    <w:rsid w:val="00F010EB"/>
    <w:rsid w:val="00F02753"/>
    <w:rsid w:val="00F127F5"/>
    <w:rsid w:val="00F14600"/>
    <w:rsid w:val="00F17289"/>
    <w:rsid w:val="00F35443"/>
    <w:rsid w:val="00F37B4B"/>
    <w:rsid w:val="00F75156"/>
    <w:rsid w:val="00F929A9"/>
    <w:rsid w:val="00FB16A7"/>
    <w:rsid w:val="00FD7A97"/>
    <w:rsid w:val="00FE37BD"/>
    <w:rsid w:val="00FE51B7"/>
    <w:rsid w:val="0128726C"/>
    <w:rsid w:val="02396AC0"/>
    <w:rsid w:val="039B70CE"/>
    <w:rsid w:val="03C32DC2"/>
    <w:rsid w:val="07F4622A"/>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666672E"/>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32"/>
    <w:autoRedefine/>
    <w:qFormat/>
    <w:uiPriority w:val="99"/>
    <w:pPr>
      <w:keepNext/>
      <w:keepLines/>
      <w:spacing w:beforeLines="100" w:afterLines="100" w:line="420" w:lineRule="exact"/>
      <w:jc w:val="center"/>
      <w:outlineLvl w:val="1"/>
    </w:pPr>
    <w:rPr>
      <w:rFonts w:ascii="Times New Roman" w:hAnsi="Times New Roman" w:eastAsia="汉仪大宋简" w:cs="Times New Roman"/>
      <w:bCs/>
      <w:sz w:val="36"/>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unhideWhenUsed/>
    <w:qFormat/>
    <w:uiPriority w:val="0"/>
    <w:pPr>
      <w:widowControl/>
      <w:ind w:firstLine="420" w:firstLineChars="200"/>
      <w:jc w:val="left"/>
    </w:pPr>
    <w:rPr>
      <w:rFonts w:ascii="Times New Roman" w:hAnsi="Times New Roman"/>
    </w:rPr>
  </w:style>
  <w:style w:type="paragraph" w:styleId="4">
    <w:name w:val="annotation text"/>
    <w:basedOn w:val="1"/>
    <w:link w:val="28"/>
    <w:qFormat/>
    <w:uiPriority w:val="0"/>
    <w:pPr>
      <w:jc w:val="left"/>
    </w:pPr>
  </w:style>
  <w:style w:type="paragraph" w:styleId="5">
    <w:name w:val="Body Text"/>
    <w:basedOn w:val="1"/>
    <w:link w:val="31"/>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6">
    <w:name w:val="Balloon Text"/>
    <w:basedOn w:val="1"/>
    <w:link w:val="26"/>
    <w:autoRedefine/>
    <w:qFormat/>
    <w:uiPriority w:val="0"/>
    <w:rPr>
      <w:sz w:val="18"/>
      <w:szCs w:val="18"/>
    </w:rPr>
  </w:style>
  <w:style w:type="paragraph" w:styleId="7">
    <w:name w:val="footer"/>
    <w:basedOn w:val="1"/>
    <w:link w:val="29"/>
    <w:autoRedefine/>
    <w:unhideWhenUsed/>
    <w:qFormat/>
    <w:uiPriority w:val="0"/>
    <w:pPr>
      <w:tabs>
        <w:tab w:val="center" w:pos="4153"/>
        <w:tab w:val="right" w:pos="8306"/>
      </w:tabs>
      <w:snapToGrid w:val="0"/>
      <w:jc w:val="left"/>
    </w:pPr>
    <w:rPr>
      <w:sz w:val="18"/>
      <w:szCs w:val="18"/>
    </w:rPr>
  </w:style>
  <w:style w:type="paragraph" w:styleId="8">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annotation subject"/>
    <w:basedOn w:val="4"/>
    <w:next w:val="4"/>
    <w:link w:val="27"/>
    <w:qFormat/>
    <w:uiPriority w:val="0"/>
    <w:rPr>
      <w:b/>
    </w:rPr>
  </w:style>
  <w:style w:type="table" w:styleId="12">
    <w:name w:val="Table Grid"/>
    <w:basedOn w:val="11"/>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qFormat/>
    <w:uiPriority w:val="0"/>
    <w:rPr>
      <w:color w:val="800080"/>
      <w:u w:val="none"/>
    </w:rPr>
  </w:style>
  <w:style w:type="character" w:styleId="16">
    <w:name w:val="Hyperlink"/>
    <w:basedOn w:val="13"/>
    <w:qFormat/>
    <w:uiPriority w:val="0"/>
    <w:rPr>
      <w:color w:val="0000FF"/>
      <w:u w:val="none"/>
    </w:rPr>
  </w:style>
  <w:style w:type="character" w:styleId="17">
    <w:name w:val="annotation reference"/>
    <w:basedOn w:val="13"/>
    <w:qFormat/>
    <w:uiPriority w:val="0"/>
    <w:rPr>
      <w:sz w:val="21"/>
      <w:szCs w:val="21"/>
    </w:rPr>
  </w:style>
  <w:style w:type="paragraph" w:customStyle="1" w:styleId="18">
    <w:name w:val="Default"/>
    <w:link w:val="25"/>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0">
    <w:name w:val="！表格首行"/>
    <w:basedOn w:val="1"/>
    <w:link w:val="33"/>
    <w:qFormat/>
    <w:uiPriority w:val="99"/>
    <w:pPr>
      <w:jc w:val="center"/>
    </w:pPr>
    <w:rPr>
      <w:rFonts w:ascii="宋体" w:hAnsi="宋体"/>
      <w:b/>
      <w:kern w:val="0"/>
      <w:sz w:val="20"/>
      <w:szCs w:val="20"/>
    </w:rPr>
  </w:style>
  <w:style w:type="paragraph" w:customStyle="1" w:styleId="21">
    <w:name w:val="！表格正文"/>
    <w:basedOn w:val="1"/>
    <w:qFormat/>
    <w:uiPriority w:val="99"/>
    <w:pPr>
      <w:spacing w:line="288" w:lineRule="auto"/>
      <w:jc w:val="left"/>
    </w:pPr>
    <w:rPr>
      <w:rFonts w:ascii="宋体" w:hAnsi="宋体"/>
      <w:szCs w:val="21"/>
    </w:rPr>
  </w:style>
  <w:style w:type="paragraph" w:customStyle="1" w:styleId="22">
    <w:name w:val="2大标题"/>
    <w:basedOn w:val="18"/>
    <w:qFormat/>
    <w:uiPriority w:val="0"/>
    <w:pPr>
      <w:spacing w:beforeLines="50" w:afterLines="50" w:line="360" w:lineRule="auto"/>
    </w:pPr>
  </w:style>
  <w:style w:type="paragraph" w:customStyle="1" w:styleId="23">
    <w:name w:val="3小标题"/>
    <w:basedOn w:val="18"/>
    <w:link w:val="24"/>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qFormat/>
    <w:locked/>
    <w:uiPriority w:val="0"/>
    <w:rPr>
      <w:rFonts w:ascii="黑体" w:hAnsi="Calibri" w:eastAsia="黑体" w:cs="黑体"/>
      <w:color w:val="000000"/>
      <w:sz w:val="24"/>
      <w:szCs w:val="24"/>
      <w:lang w:val="en-US" w:eastAsia="zh-CN" w:bidi="ar-SA"/>
    </w:rPr>
  </w:style>
  <w:style w:type="character" w:customStyle="1" w:styleId="26">
    <w:name w:val="批注框文本 字符"/>
    <w:basedOn w:val="13"/>
    <w:link w:val="6"/>
    <w:qFormat/>
    <w:uiPriority w:val="0"/>
    <w:rPr>
      <w:rFonts w:asciiTheme="minorHAnsi" w:hAnsiTheme="minorHAnsi" w:eastAsiaTheme="minorEastAsia" w:cstheme="minorBidi"/>
      <w:kern w:val="2"/>
      <w:sz w:val="18"/>
      <w:szCs w:val="18"/>
    </w:rPr>
  </w:style>
  <w:style w:type="character" w:customStyle="1" w:styleId="27">
    <w:name w:val="批注主题 字符"/>
    <w:basedOn w:val="28"/>
    <w:link w:val="10"/>
    <w:qFormat/>
    <w:uiPriority w:val="0"/>
    <w:rPr>
      <w:b/>
      <w:kern w:val="2"/>
      <w:sz w:val="21"/>
      <w:szCs w:val="22"/>
    </w:rPr>
  </w:style>
  <w:style w:type="character" w:customStyle="1" w:styleId="28">
    <w:name w:val="批注文字 字符"/>
    <w:basedOn w:val="13"/>
    <w:link w:val="4"/>
    <w:qFormat/>
    <w:uiPriority w:val="0"/>
    <w:rPr>
      <w:kern w:val="2"/>
      <w:sz w:val="21"/>
      <w:szCs w:val="22"/>
    </w:rPr>
  </w:style>
  <w:style w:type="character" w:customStyle="1" w:styleId="29">
    <w:name w:val="页脚 字符"/>
    <w:basedOn w:val="13"/>
    <w:link w:val="7"/>
    <w:qFormat/>
    <w:uiPriority w:val="0"/>
    <w:rPr>
      <w:rFonts w:ascii="等线" w:hAnsi="等线" w:eastAsia="等线" w:cs="Times New Roman"/>
      <w:kern w:val="2"/>
      <w:sz w:val="18"/>
      <w:szCs w:val="18"/>
    </w:rPr>
  </w:style>
  <w:style w:type="character" w:customStyle="1" w:styleId="30">
    <w:name w:val="页眉 字符"/>
    <w:basedOn w:val="13"/>
    <w:link w:val="8"/>
    <w:qFormat/>
    <w:uiPriority w:val="0"/>
    <w:rPr>
      <w:rFonts w:hint="default" w:ascii="等线" w:hAnsi="等线" w:eastAsia="等线" w:cs="Times New Roman"/>
      <w:kern w:val="2"/>
      <w:sz w:val="18"/>
      <w:szCs w:val="18"/>
    </w:rPr>
  </w:style>
  <w:style w:type="character" w:customStyle="1" w:styleId="31">
    <w:name w:val="正文文本 字符"/>
    <w:basedOn w:val="13"/>
    <w:link w:val="5"/>
    <w:qFormat/>
    <w:uiPriority w:val="0"/>
    <w:rPr>
      <w:rFonts w:hint="eastAsia" w:ascii="仿宋" w:hAnsi="Times New Roman" w:eastAsia="仿宋" w:cs="仿宋"/>
      <w:sz w:val="32"/>
      <w:szCs w:val="32"/>
    </w:rPr>
  </w:style>
  <w:style w:type="character" w:customStyle="1" w:styleId="32">
    <w:name w:val="标题 2 字符"/>
    <w:basedOn w:val="13"/>
    <w:link w:val="2"/>
    <w:qFormat/>
    <w:uiPriority w:val="99"/>
    <w:rPr>
      <w:rFonts w:eastAsia="汉仪大宋简"/>
      <w:bCs/>
      <w:kern w:val="2"/>
      <w:sz w:val="36"/>
      <w:szCs w:val="32"/>
    </w:rPr>
  </w:style>
  <w:style w:type="character" w:customStyle="1" w:styleId="33">
    <w:name w:val="表格首行 Char"/>
    <w:link w:val="20"/>
    <w:locked/>
    <w:uiPriority w:val="99"/>
    <w:rPr>
      <w:rFonts w:ascii="宋体" w:hAnsi="宋体" w:eastAsiaTheme="minorEastAsia" w:cstheme="minorBidi"/>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9</Pages>
  <Words>1123</Words>
  <Characters>6404</Characters>
  <Lines>53</Lines>
  <Paragraphs>15</Paragraphs>
  <TotalTime>582</TotalTime>
  <ScaleCrop>false</ScaleCrop>
  <LinksUpToDate>false</LinksUpToDate>
  <CharactersWithSpaces>7512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2024-05-06T00:52:23Z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63753C5611C14F938D316ACE7DEBACDD_12</vt:lpwstr>
  </property>
</Properties>
</file>