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outlineLvl w:val="0"/>
        <w:rPr>
          <w:rFonts w:ascii="宋体" w:hAnsi="宋体" w:eastAsia="宋体" w:cs="Times New Roman"/>
          <w:b/>
          <w:bCs/>
          <w:sz w:val="32"/>
          <w:szCs w:val="32"/>
        </w:rPr>
      </w:pPr>
      <w:bookmarkStart w:id="0" w:name="_Toc47793652"/>
    </w:p>
    <w:p>
      <w:pPr>
        <w:tabs>
          <w:tab w:val="left" w:pos="705"/>
        </w:tabs>
        <w:spacing w:line="400" w:lineRule="exact"/>
        <w:jc w:val="center"/>
        <w:outlineLvl w:val="0"/>
        <w:rPr>
          <w:rFonts w:ascii="宋体" w:hAnsi="宋体" w:eastAsia="宋体" w:cs="Times New Roman"/>
          <w:b/>
          <w:bCs/>
          <w:sz w:val="32"/>
          <w:szCs w:val="32"/>
        </w:rPr>
      </w:pPr>
      <w:r>
        <w:rPr>
          <w:rFonts w:ascii="宋体" w:hAnsi="宋体" w:eastAsia="宋体" w:cs="Times New Roman"/>
          <w:b/>
          <w:bCs/>
          <w:sz w:val="32"/>
          <w:szCs w:val="32"/>
        </w:rPr>
        <w:t>《单片机原理与应用》课程教学大纲</w:t>
      </w:r>
      <w:bookmarkEnd w:id="0"/>
    </w:p>
    <w:p>
      <w:pPr>
        <w:tabs>
          <w:tab w:val="left" w:pos="705"/>
        </w:tabs>
        <w:spacing w:line="400" w:lineRule="exact"/>
        <w:jc w:val="center"/>
        <w:outlineLvl w:val="0"/>
        <w:rPr>
          <w:rFonts w:ascii="宋体" w:hAnsi="宋体" w:eastAsia="宋体" w:cs="Times New Roman"/>
          <w:b/>
          <w:bCs/>
          <w:sz w:val="32"/>
          <w:szCs w:val="32"/>
        </w:rPr>
      </w:pPr>
    </w:p>
    <w:tbl>
      <w:tblPr>
        <w:tblStyle w:val="6"/>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201"/>
        <w:gridCol w:w="1418"/>
        <w:gridCol w:w="132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课程名称</w:t>
            </w:r>
          </w:p>
        </w:tc>
        <w:tc>
          <w:tcPr>
            <w:tcW w:w="1649"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中文</w:t>
            </w:r>
          </w:p>
        </w:tc>
        <w:tc>
          <w:tcPr>
            <w:tcW w:w="5340" w:type="dxa"/>
            <w:gridSpan w:val="4"/>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ascii="宋体" w:hAnsi="宋体" w:eastAsia="宋体" w:cs="Times New Roman"/>
              </w:rPr>
              <w:t>单片机原理与应用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szCs w:val="21"/>
              </w:rPr>
            </w:pP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英文</w:t>
            </w:r>
          </w:p>
        </w:tc>
        <w:tc>
          <w:tcPr>
            <w:tcW w:w="5340" w:type="dxa"/>
            <w:gridSpan w:val="4"/>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hint="eastAsia" w:ascii="Times New Roman" w:hAnsi="Times New Roman" w:eastAsia="宋体" w:cs="Times New Roman"/>
              </w:rPr>
              <w:t>Micro controller</w:t>
            </w:r>
            <w:r>
              <w:rPr>
                <w:rFonts w:ascii="Times New Roman" w:hAnsi="Times New Roman" w:eastAsia="宋体" w:cs="Times New Roman"/>
              </w:rPr>
              <w:t xml:space="preserve"> </w:t>
            </w:r>
            <w:r>
              <w:rPr>
                <w:rFonts w:hint="eastAsia" w:ascii="Times New Roman" w:hAnsi="Times New Roman" w:eastAsia="宋体" w:cs="Times New Roman"/>
              </w:rPr>
              <w:t>Principle</w:t>
            </w:r>
            <w:r>
              <w:rPr>
                <w:rFonts w:ascii="Times New Roman" w:hAnsi="Times New Roman" w:eastAsia="宋体" w:cs="Times New Roman"/>
              </w:rPr>
              <w:t xml:space="preserve"> and Applications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课程代码</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A313076</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开课学院/系</w:t>
            </w:r>
          </w:p>
        </w:tc>
        <w:tc>
          <w:tcPr>
            <w:tcW w:w="1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eastAsia="宋体" w:cs="Times New Roman"/>
                <w:kern w:val="0"/>
                <w:szCs w:val="21"/>
              </w:rPr>
            </w:pPr>
            <w:r>
              <w:rPr>
                <w:rFonts w:ascii="宋体" w:hAnsi="宋体" w:eastAsia="宋体" w:cs="Times New Roman"/>
              </w:rPr>
              <w:t>电气信息工程学院/自动化系</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制定/修订</w:t>
            </w:r>
          </w:p>
          <w:p>
            <w:pPr>
              <w:adjustRightInd w:val="0"/>
              <w:snapToGrid w:val="0"/>
              <w:jc w:val="center"/>
              <w:rPr>
                <w:rFonts w:ascii="宋体" w:hAnsi="宋体" w:eastAsia="宋体" w:cs="Times New Roman"/>
                <w:b/>
                <w:szCs w:val="21"/>
              </w:rPr>
            </w:pPr>
            <w:r>
              <w:rPr>
                <w:rFonts w:ascii="宋体" w:hAnsi="宋体"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20</w:t>
            </w:r>
            <w:r>
              <w:rPr>
                <w:rFonts w:hint="eastAsia" w:ascii="宋体" w:hAnsi="宋体" w:eastAsia="宋体" w:cs="Times New Roman"/>
              </w:rPr>
              <w:t>23</w:t>
            </w:r>
            <w:r>
              <w:rPr>
                <w:rFonts w:ascii="宋体" w:hAnsi="宋体" w:eastAsia="宋体" w:cs="Times New Roman"/>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课程类别</w:t>
            </w:r>
          </w:p>
        </w:tc>
        <w:tc>
          <w:tcPr>
            <w:tcW w:w="164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adjustRightInd w:val="0"/>
              <w:snapToGrid w:val="0"/>
              <w:ind w:firstLine="210" w:firstLineChars="100"/>
              <w:jc w:val="left"/>
              <w:rPr>
                <w:rFonts w:ascii="宋体" w:hAnsi="宋体" w:eastAsia="宋体" w:cs="Times New Roman"/>
                <w:b/>
                <w:kern w:val="0"/>
                <w:szCs w:val="21"/>
              </w:rPr>
            </w:pPr>
            <w:r>
              <w:rPr>
                <w:rFonts w:ascii="宋体" w:hAnsi="宋体" w:eastAsia="宋体" w:cs="Times New Roman"/>
              </w:rPr>
              <w:t>工程基础</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学分</w:t>
            </w:r>
          </w:p>
        </w:tc>
        <w:tc>
          <w:tcPr>
            <w:tcW w:w="1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kern w:val="0"/>
                <w:szCs w:val="21"/>
              </w:rPr>
            </w:pPr>
            <w:r>
              <w:rPr>
                <w:rFonts w:ascii="宋体" w:hAnsi="宋体" w:eastAsia="宋体" w:cs="Times New Roman"/>
              </w:rPr>
              <w:t>4.0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hint="eastAsia" w:ascii="宋体" w:hAnsi="宋体" w:eastAsia="宋体" w:cs="Times New Roman"/>
              </w:rPr>
              <w:t>电气工程及其自动化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电路原理、模拟电子技术基础、数字电路、程序设计（C）</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ascii="宋体" w:hAnsi="宋体" w:eastAsia="宋体" w:cs="Times New Roman"/>
              </w:rPr>
              <w:t>罗印升.单片微机原理与应用（第2版）.北京：机械工业出版社，201</w:t>
            </w:r>
            <w:r>
              <w:rPr>
                <w:rFonts w:hint="eastAsia" w:ascii="宋体" w:hAnsi="宋体" w:eastAsia="宋体" w:cs="Times New Roman"/>
              </w:rPr>
              <w:t>9</w:t>
            </w:r>
            <w:r>
              <w:rPr>
                <w:rFonts w:ascii="宋体" w:hAnsi="宋体" w:eastAsia="宋体" w:cs="Times New Roma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rPr>
            </w:pPr>
            <w:r>
              <w:rPr>
                <w:rFonts w:ascii="宋体" w:hAnsi="宋体" w:eastAsia="宋体" w:cs="Times New Roman"/>
                <w:bCs/>
                <w:kern w:val="0"/>
                <w:szCs w:val="21"/>
              </w:rPr>
              <w:t>理论教学54学时，实验教学10学时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sz w:val="24"/>
              </w:rPr>
            </w:pPr>
            <w:r>
              <w:rPr>
                <w:rFonts w:hint="eastAsia" w:ascii="宋体" w:hAnsi="宋体" w:eastAsia="宋体" w:cs="Times New Roman"/>
              </w:rPr>
              <w:t>邢绍邦</w:t>
            </w:r>
          </w:p>
        </w:tc>
        <w:tc>
          <w:tcPr>
            <w:tcW w:w="1619"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审定人</w:t>
            </w:r>
          </w:p>
        </w:tc>
        <w:tc>
          <w:tcPr>
            <w:tcW w:w="1327"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kern w:val="0"/>
                <w:szCs w:val="21"/>
              </w:rPr>
            </w:pPr>
            <w:r>
              <w:rPr>
                <w:rFonts w:ascii="宋体" w:hAnsi="宋体" w:eastAsia="宋体" w:cs="Times New Roman"/>
                <w:kern w:val="0"/>
                <w:szCs w:val="21"/>
              </w:rPr>
              <w:t>李博</w:t>
            </w:r>
          </w:p>
        </w:tc>
        <w:tc>
          <w:tcPr>
            <w:tcW w:w="12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ascii="宋体" w:hAnsi="宋体" w:eastAsia="宋体" w:cs="Times New Roman"/>
                <w:b/>
                <w:kern w:val="0"/>
                <w:szCs w:val="21"/>
              </w:rPr>
            </w:pPr>
            <w:r>
              <w:rPr>
                <w:rFonts w:hint="eastAsia" w:ascii="宋体" w:hAnsi="宋体" w:eastAsia="宋体" w:cs="Times New Roman"/>
                <w:bCs/>
                <w:kern w:val="0"/>
                <w:szCs w:val="21"/>
              </w:rPr>
              <w:t>陶维戈</w:t>
            </w:r>
          </w:p>
        </w:tc>
      </w:tr>
    </w:tbl>
    <w:p>
      <w:pPr>
        <w:adjustRightInd w:val="0"/>
        <w:snapToGrid w:val="0"/>
        <w:spacing w:line="420" w:lineRule="exact"/>
        <w:jc w:val="left"/>
        <w:rPr>
          <w:rFonts w:ascii="宋体" w:hAnsi="宋体" w:eastAsia="宋体" w:cs="Times New Roman"/>
          <w:b/>
          <w:bCs/>
          <w:kern w:val="0"/>
          <w:sz w:val="28"/>
          <w:szCs w:val="28"/>
        </w:rPr>
      </w:pPr>
    </w:p>
    <w:p>
      <w:pPr>
        <w:adjustRightInd w:val="0"/>
        <w:snapToGrid w:val="0"/>
        <w:spacing w:line="420" w:lineRule="exact"/>
        <w:jc w:val="left"/>
        <w:rPr>
          <w:rFonts w:ascii="宋体" w:hAnsi="宋体" w:eastAsia="宋体" w:cs="Times New Roman"/>
        </w:rPr>
      </w:pPr>
      <w:r>
        <w:rPr>
          <w:rFonts w:ascii="宋体" w:hAnsi="宋体" w:eastAsia="宋体" w:cs="Times New Roman"/>
          <w:b/>
          <w:bCs/>
          <w:kern w:val="0"/>
          <w:sz w:val="28"/>
          <w:szCs w:val="28"/>
        </w:rPr>
        <w:t>一、课程简介</w:t>
      </w:r>
    </w:p>
    <w:p>
      <w:pPr>
        <w:adjustRightInd w:val="0"/>
        <w:snapToGrid w:val="0"/>
        <w:spacing w:line="420" w:lineRule="exact"/>
        <w:ind w:firstLine="480" w:firstLineChars="200"/>
        <w:rPr>
          <w:rFonts w:ascii="宋体" w:hAnsi="宋体" w:eastAsia="宋体" w:cs="Times New Roman"/>
          <w:sz w:val="24"/>
        </w:rPr>
      </w:pPr>
      <w:r>
        <w:rPr>
          <w:rFonts w:ascii="宋体" w:hAnsi="宋体" w:eastAsia="宋体" w:cs="Times New Roman"/>
          <w:bCs/>
          <w:sz w:val="24"/>
        </w:rPr>
        <w:t>《单片机原理与应用》课程是</w:t>
      </w:r>
      <w:r>
        <w:rPr>
          <w:rFonts w:hint="eastAsia" w:ascii="宋体" w:hAnsi="宋体" w:eastAsia="宋体" w:cs="Times New Roman"/>
          <w:bCs/>
          <w:sz w:val="24"/>
          <w:lang w:eastAsia="zh-CN"/>
        </w:rPr>
        <w:t>电气工程及其自动化</w:t>
      </w:r>
      <w:r>
        <w:rPr>
          <w:rFonts w:ascii="宋体" w:hAnsi="宋体" w:eastAsia="宋体" w:cs="Times New Roman"/>
          <w:bCs/>
          <w:sz w:val="24"/>
        </w:rPr>
        <w:t>专业的工程基础课，属</w:t>
      </w:r>
      <w:r>
        <w:rPr>
          <w:rFonts w:ascii="宋体" w:hAnsi="宋体" w:eastAsia="宋体" w:cs="Times New Roman"/>
          <w:sz w:val="24"/>
        </w:rPr>
        <w:t>计算机系列课程的重要组成部分，是学生</w:t>
      </w:r>
      <w:r>
        <w:rPr>
          <w:rFonts w:ascii="宋体" w:hAnsi="宋体" w:eastAsia="宋体" w:cs="Times New Roman"/>
          <w:sz w:val="24"/>
          <w:szCs w:val="18"/>
        </w:rPr>
        <w:t>在微型计算机技术与应用方面学习的核心基础课，具有综合性和很强的实践性。本课程的任务是使学生获得微型计算机技术与应用方面的基本知识、基本原理、基本技能，树立实事求是的学风，目的是培养学生应用微机分析和解决问题的硬软件设计开发能力，养成良好的程序设计方面的职业素养，为后续学习和工作打好基础。</w:t>
      </w:r>
    </w:p>
    <w:p>
      <w:pPr>
        <w:adjustRightInd w:val="0"/>
        <w:snapToGrid w:val="0"/>
        <w:spacing w:line="420" w:lineRule="exact"/>
        <w:rPr>
          <w:rFonts w:ascii="宋体" w:hAnsi="宋体" w:eastAsia="宋体" w:cs="Times New Roman"/>
          <w:b/>
          <w:bCs/>
          <w:kern w:val="0"/>
          <w:sz w:val="28"/>
          <w:szCs w:val="28"/>
        </w:rPr>
      </w:pPr>
      <w:r>
        <w:rPr>
          <w:rFonts w:ascii="宋体" w:hAnsi="宋体" w:eastAsia="宋体" w:cs="Times New Roman"/>
          <w:b/>
          <w:bCs/>
          <w:kern w:val="0"/>
          <w:sz w:val="28"/>
          <w:szCs w:val="28"/>
        </w:rPr>
        <w:t>二、课程目标</w:t>
      </w:r>
    </w:p>
    <w:p>
      <w:pPr>
        <w:widowControl/>
        <w:adjustRightInd w:val="0"/>
        <w:snapToGrid w:val="0"/>
        <w:spacing w:line="420" w:lineRule="exact"/>
        <w:ind w:firstLine="480" w:firstLineChars="200"/>
        <w:rPr>
          <w:rFonts w:ascii="宋体" w:hAnsi="宋体" w:eastAsia="宋体" w:cs="Times New Roman"/>
          <w:bCs/>
          <w:sz w:val="24"/>
        </w:rPr>
      </w:pPr>
      <w:r>
        <w:rPr>
          <w:rFonts w:ascii="宋体" w:hAnsi="宋体" w:eastAsia="宋体" w:cs="Times New Roman"/>
          <w:kern w:val="0"/>
          <w:sz w:val="24"/>
        </w:rPr>
        <w:t>课程目标1：</w:t>
      </w:r>
      <w:r>
        <w:rPr>
          <w:rFonts w:ascii="宋体" w:hAnsi="宋体" w:eastAsia="宋体" w:cs="Times New Roman"/>
          <w:bCs/>
          <w:sz w:val="24"/>
        </w:rPr>
        <w:t>掌握以51系列单片机为代表的单片机系统基本组成、工作原理、程序设计的基本方法以及单片机的接口技术，进而更深入地理解微型计算机软、硬件系统的基本组成和基本原理，能用不同的方法进行微机应用程序的模块设计。</w:t>
      </w:r>
    </w:p>
    <w:p>
      <w:pPr>
        <w:widowControl/>
        <w:adjustRightInd w:val="0"/>
        <w:snapToGrid w:val="0"/>
        <w:spacing w:line="420" w:lineRule="exact"/>
        <w:ind w:firstLine="480" w:firstLineChars="200"/>
        <w:rPr>
          <w:rFonts w:ascii="宋体" w:hAnsi="宋体" w:eastAsia="宋体" w:cs="Times New Roman"/>
          <w:bCs/>
          <w:sz w:val="24"/>
        </w:rPr>
      </w:pPr>
      <w:r>
        <w:rPr>
          <w:rFonts w:ascii="宋体" w:hAnsi="宋体" w:eastAsia="宋体" w:cs="Times New Roman"/>
          <w:kern w:val="0"/>
          <w:sz w:val="24"/>
        </w:rPr>
        <w:t>课程目标2：</w:t>
      </w:r>
      <w:r>
        <w:rPr>
          <w:rFonts w:ascii="宋体" w:hAnsi="宋体" w:eastAsia="宋体" w:cs="Times New Roman"/>
          <w:bCs/>
          <w:sz w:val="24"/>
        </w:rPr>
        <w:t>掌握单片机应用系统设计和开发的基本方法与技术工具，掌握流程图设计方法，能够完成应用系统的软件设计、开发和调试运行。</w:t>
      </w:r>
    </w:p>
    <w:p>
      <w:pPr>
        <w:pStyle w:val="9"/>
        <w:snapToGrid w:val="0"/>
        <w:spacing w:line="420" w:lineRule="exact"/>
        <w:rPr>
          <w:rFonts w:ascii="宋体" w:hAnsi="宋体" w:eastAsia="宋体" w:cs="Times New Roman"/>
          <w:b/>
          <w:bCs/>
          <w:color w:val="auto"/>
          <w:sz w:val="28"/>
          <w:szCs w:val="28"/>
        </w:rPr>
      </w:pPr>
      <w:r>
        <w:rPr>
          <w:rFonts w:ascii="宋体" w:hAnsi="宋体" w:eastAsia="宋体" w:cs="Times New Roman"/>
          <w:b/>
          <w:bCs/>
          <w:color w:val="auto"/>
          <w:sz w:val="28"/>
          <w:szCs w:val="28"/>
        </w:rPr>
        <w:t>三、课程目标与毕业要求的支撑关系</w:t>
      </w:r>
    </w:p>
    <w:tbl>
      <w:tblPr>
        <w:tblStyle w:val="6"/>
        <w:tblW w:w="7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3439"/>
        <w:gridCol w:w="1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117" w:type="dxa"/>
            <w:vAlign w:val="center"/>
          </w:tcPr>
          <w:p>
            <w:pPr>
              <w:pStyle w:val="9"/>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毕业要求</w:t>
            </w:r>
          </w:p>
        </w:tc>
        <w:tc>
          <w:tcPr>
            <w:tcW w:w="3439" w:type="dxa"/>
            <w:vAlign w:val="center"/>
          </w:tcPr>
          <w:p>
            <w:pPr>
              <w:pStyle w:val="9"/>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毕业要求指标点</w:t>
            </w:r>
          </w:p>
        </w:tc>
        <w:tc>
          <w:tcPr>
            <w:tcW w:w="1669" w:type="dxa"/>
            <w:vAlign w:val="center"/>
          </w:tcPr>
          <w:p>
            <w:pPr>
              <w:pStyle w:val="9"/>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2117" w:type="dxa"/>
            <w:vAlign w:val="center"/>
          </w:tcPr>
          <w:p>
            <w:pPr>
              <w:pStyle w:val="9"/>
              <w:snapToGrid w:val="0"/>
              <w:rPr>
                <w:rFonts w:ascii="宋体" w:hAnsi="宋体" w:eastAsia="宋体" w:cs="Times New Roman"/>
                <w:color w:val="auto"/>
                <w:sz w:val="21"/>
                <w:szCs w:val="21"/>
              </w:rPr>
            </w:pPr>
            <w:r>
              <w:rPr>
                <w:rFonts w:ascii="宋体" w:hAnsi="宋体" w:eastAsia="宋体" w:cs="Times New Roman"/>
                <w:color w:val="auto"/>
                <w:sz w:val="21"/>
                <w:szCs w:val="21"/>
              </w:rPr>
              <w:t>毕业要求1：工程知识</w:t>
            </w:r>
          </w:p>
        </w:tc>
        <w:tc>
          <w:tcPr>
            <w:tcW w:w="3439" w:type="dxa"/>
            <w:vAlign w:val="center"/>
          </w:tcPr>
          <w:p>
            <w:pPr>
              <w:pStyle w:val="10"/>
              <w:adjustRightInd w:val="0"/>
              <w:snapToGrid w:val="0"/>
              <w:spacing w:line="240" w:lineRule="auto"/>
              <w:jc w:val="both"/>
              <w:rPr>
                <w:rFonts w:ascii="宋体" w:hAnsi="宋体" w:eastAsia="宋体"/>
                <w:kern w:val="0"/>
              </w:rPr>
            </w:pPr>
            <w:r>
              <w:rPr>
                <w:rFonts w:ascii="宋体" w:hAnsi="宋体" w:eastAsia="宋体"/>
              </w:rPr>
              <w:t>1.5能针对通信工程领域中通信系统设计与应用等专业工程问题的解决方案进行比较和综合</w:t>
            </w:r>
            <w:r>
              <w:rPr>
                <w:rFonts w:hint="eastAsia" w:ascii="宋体" w:hAnsi="宋体" w:eastAsia="宋体"/>
              </w:rPr>
              <w:t>；</w:t>
            </w:r>
          </w:p>
        </w:tc>
        <w:tc>
          <w:tcPr>
            <w:tcW w:w="1669" w:type="dxa"/>
            <w:vAlign w:val="center"/>
          </w:tcPr>
          <w:p>
            <w:pPr>
              <w:pStyle w:val="9"/>
              <w:snapToGrid w:val="0"/>
              <w:spacing w:line="360" w:lineRule="auto"/>
              <w:jc w:val="center"/>
              <w:rPr>
                <w:rFonts w:ascii="宋体" w:hAnsi="宋体" w:eastAsia="宋体" w:cs="Times New Roman"/>
                <w:color w:val="auto"/>
                <w:sz w:val="21"/>
                <w:szCs w:val="21"/>
              </w:rPr>
            </w:pPr>
            <w:r>
              <w:rPr>
                <w:rFonts w:ascii="宋体" w:hAnsi="宋体" w:eastAsia="宋体" w:cs="Times New Roman"/>
                <w:color w:val="auto"/>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2117" w:type="dxa"/>
            <w:vAlign w:val="center"/>
          </w:tcPr>
          <w:p>
            <w:pPr>
              <w:pStyle w:val="9"/>
              <w:snapToGrid w:val="0"/>
              <w:rPr>
                <w:rFonts w:ascii="宋体" w:hAnsi="宋体" w:eastAsia="宋体" w:cs="Times New Roman"/>
                <w:color w:val="auto"/>
                <w:sz w:val="21"/>
                <w:szCs w:val="21"/>
              </w:rPr>
            </w:pPr>
            <w:r>
              <w:rPr>
                <w:rFonts w:ascii="宋体" w:hAnsi="宋体" w:eastAsia="宋体" w:cs="Times New Roman"/>
                <w:color w:val="auto"/>
                <w:sz w:val="21"/>
                <w:szCs w:val="21"/>
              </w:rPr>
              <w:t>毕业要求3：设计/开发解决方案</w:t>
            </w:r>
          </w:p>
        </w:tc>
        <w:tc>
          <w:tcPr>
            <w:tcW w:w="3439" w:type="dxa"/>
            <w:vAlign w:val="center"/>
          </w:tcPr>
          <w:p>
            <w:pPr>
              <w:pStyle w:val="10"/>
              <w:adjustRightInd w:val="0"/>
              <w:snapToGrid w:val="0"/>
              <w:spacing w:line="240" w:lineRule="auto"/>
              <w:jc w:val="both"/>
              <w:rPr>
                <w:rFonts w:ascii="宋体" w:hAnsi="宋体" w:eastAsia="宋体"/>
              </w:rPr>
            </w:pPr>
            <w:r>
              <w:rPr>
                <w:rFonts w:ascii="宋体" w:hAnsi="宋体" w:eastAsia="宋体"/>
              </w:rPr>
              <w:t>3.2 能够针对电气工程及其自动化领域复杂工程问题， 确定设计目标与任务，完成具体的系统软硬件解决方案和实施工艺流程设计， 并体现创新意识；</w:t>
            </w:r>
          </w:p>
        </w:tc>
        <w:tc>
          <w:tcPr>
            <w:tcW w:w="1669" w:type="dxa"/>
            <w:vAlign w:val="center"/>
          </w:tcPr>
          <w:p>
            <w:pPr>
              <w:pStyle w:val="9"/>
              <w:snapToGrid w:val="0"/>
              <w:spacing w:line="360" w:lineRule="auto"/>
              <w:jc w:val="center"/>
              <w:rPr>
                <w:rFonts w:ascii="宋体" w:hAnsi="宋体" w:eastAsia="宋体" w:cs="Times New Roman"/>
                <w:color w:val="auto"/>
                <w:sz w:val="21"/>
                <w:szCs w:val="21"/>
              </w:rPr>
            </w:pPr>
            <w:r>
              <w:rPr>
                <w:rFonts w:ascii="宋体" w:hAnsi="宋体" w:eastAsia="宋体" w:cs="Times New Roman"/>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2117" w:type="dxa"/>
            <w:vAlign w:val="center"/>
          </w:tcPr>
          <w:p>
            <w:pPr>
              <w:pStyle w:val="9"/>
              <w:snapToGrid w:val="0"/>
              <w:rPr>
                <w:rFonts w:ascii="宋体" w:hAnsi="宋体" w:eastAsia="宋体" w:cs="Times New Roman"/>
                <w:color w:val="auto"/>
                <w:sz w:val="21"/>
                <w:szCs w:val="21"/>
              </w:rPr>
            </w:pPr>
            <w:r>
              <w:rPr>
                <w:rFonts w:ascii="宋体" w:hAnsi="宋体" w:eastAsia="宋体" w:cs="Times New Roman"/>
                <w:color w:val="auto"/>
                <w:sz w:val="21"/>
                <w:szCs w:val="21"/>
              </w:rPr>
              <w:t>毕业要求</w:t>
            </w:r>
            <w:r>
              <w:rPr>
                <w:rFonts w:hint="eastAsia" w:ascii="宋体" w:hAnsi="宋体" w:eastAsia="宋体" w:cs="Times New Roman"/>
                <w:color w:val="auto"/>
                <w:sz w:val="21"/>
                <w:szCs w:val="21"/>
              </w:rPr>
              <w:t>5</w:t>
            </w:r>
            <w:r>
              <w:rPr>
                <w:rFonts w:ascii="宋体" w:hAnsi="宋体" w:eastAsia="宋体" w:cs="Times New Roman"/>
                <w:color w:val="auto"/>
                <w:sz w:val="21"/>
                <w:szCs w:val="21"/>
              </w:rPr>
              <w:t>：使用现代工具</w:t>
            </w:r>
          </w:p>
        </w:tc>
        <w:tc>
          <w:tcPr>
            <w:tcW w:w="3439" w:type="dxa"/>
            <w:vAlign w:val="center"/>
          </w:tcPr>
          <w:p>
            <w:pPr>
              <w:pStyle w:val="10"/>
              <w:adjustRightInd w:val="0"/>
              <w:snapToGrid w:val="0"/>
              <w:spacing w:line="240" w:lineRule="auto"/>
              <w:jc w:val="both"/>
              <w:rPr>
                <w:rFonts w:ascii="宋体" w:hAnsi="宋体" w:eastAsia="宋体"/>
              </w:rPr>
            </w:pPr>
            <w:r>
              <w:rPr>
                <w:rFonts w:ascii="宋体" w:hAnsi="宋体" w:eastAsia="宋体"/>
              </w:rPr>
              <w:t>5.2 掌握电气工程及其自动化实践所需的设计、仿真等现代工程工具和信息技术工具的使用方法，对典型电气单元与系统进行仿真和设计，并能理解其局限性；</w:t>
            </w:r>
          </w:p>
        </w:tc>
        <w:tc>
          <w:tcPr>
            <w:tcW w:w="1669" w:type="dxa"/>
            <w:vAlign w:val="center"/>
          </w:tcPr>
          <w:p>
            <w:pPr>
              <w:pStyle w:val="9"/>
              <w:snapToGrid w:val="0"/>
              <w:spacing w:line="360" w:lineRule="auto"/>
              <w:jc w:val="center"/>
              <w:rPr>
                <w:rFonts w:ascii="宋体" w:hAnsi="宋体" w:eastAsia="宋体" w:cs="Times New Roman"/>
                <w:color w:val="auto"/>
                <w:sz w:val="21"/>
                <w:szCs w:val="21"/>
              </w:rPr>
            </w:pPr>
            <w:r>
              <w:rPr>
                <w:rFonts w:hint="eastAsia" w:ascii="宋体" w:hAnsi="宋体" w:eastAsia="宋体" w:cs="Times New Roman"/>
                <w:color w:val="auto"/>
                <w:sz w:val="21"/>
                <w:szCs w:val="21"/>
              </w:rPr>
              <w:t>2</w:t>
            </w:r>
          </w:p>
        </w:tc>
      </w:tr>
    </w:tbl>
    <w:p>
      <w:pPr>
        <w:pStyle w:val="9"/>
        <w:snapToGrid w:val="0"/>
        <w:spacing w:before="156" w:beforeLines="50" w:line="420" w:lineRule="exact"/>
        <w:rPr>
          <w:rFonts w:ascii="宋体" w:hAnsi="宋体" w:eastAsia="宋体" w:cs="Times New Roman"/>
          <w:b/>
          <w:bCs/>
          <w:color w:val="auto"/>
          <w:sz w:val="28"/>
          <w:szCs w:val="28"/>
        </w:rPr>
      </w:pPr>
      <w:r>
        <w:rPr>
          <w:rFonts w:ascii="宋体" w:hAnsi="宋体" w:eastAsia="宋体" w:cs="Times New Roman"/>
          <w:b/>
          <w:bCs/>
          <w:color w:val="auto"/>
          <w:sz w:val="28"/>
          <w:szCs w:val="28"/>
        </w:rPr>
        <w:t>四、课程教学内容</w:t>
      </w:r>
    </w:p>
    <w:p>
      <w:pPr>
        <w:pStyle w:val="9"/>
        <w:snapToGrid w:val="0"/>
        <w:spacing w:line="420" w:lineRule="exact"/>
        <w:rPr>
          <w:rFonts w:ascii="宋体" w:hAnsi="宋体" w:eastAsia="宋体" w:cs="Times New Roman"/>
          <w:color w:val="auto"/>
        </w:rPr>
      </w:pPr>
      <w:r>
        <w:rPr>
          <w:rFonts w:ascii="宋体" w:hAnsi="宋体" w:eastAsia="宋体" w:cs="Times New Roman"/>
          <w:b/>
          <w:bCs/>
          <w:color w:val="auto"/>
        </w:rPr>
        <w:t>（一）理论教学部分</w:t>
      </w:r>
    </w:p>
    <w:p>
      <w:pPr>
        <w:pStyle w:val="11"/>
        <w:snapToGrid w:val="0"/>
        <w:spacing w:line="420" w:lineRule="exact"/>
        <w:ind w:firstLine="480"/>
        <w:jc w:val="both"/>
        <w:rPr>
          <w:rFonts w:cs="Times New Roman"/>
          <w:b w:val="0"/>
          <w:color w:val="auto"/>
        </w:rPr>
      </w:pPr>
      <w:r>
        <w:rPr>
          <w:rFonts w:cs="Times New Roman"/>
          <w:b w:val="0"/>
          <w:color w:val="auto"/>
        </w:rPr>
        <w:t>内容1：微型计算机与单片微型计算机基础</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微型计算机各部分组成、作用与工作原理，微型计算机的技术发展趋势；单片机的产生、特点、应用与发展趋势；码制、机器数的表示与运算。51系列单片机的组成结构、引脚功能，51系列单片机的存储器组织（程序存贮器、数据存贮器组织，特别是特殊功能寄存器、位存贮区）、并行I/O接口与操作方法，51系列单片机的时钟电路、时序、复位电路、低功耗工作方式和看门狗定时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2．重点：微型计算机的工作原理，51系列单片机的内部结构、存储器组织、并行输入/输出端口结构、功能与操作方法。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3.难点：微型计算机的工作原理、时序与低功耗工作方式和看门狗定时器的应用。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微型计算机一般组成及各部分的功能与工作原理，了解微型计算机的技术发展趋势，掌握计算机中数、码的表示方法和数制及其转换等。掌握51系列单片机的组成结构、引脚功能，51系列单片机的存储器组织、并行I/O接口与操作方法，掌握51系列单片机的时钟电路、时序、复位电路，理解低功耗工作方式和看门狗定时器的应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能力目标：能正确运用有关51系列单片机的内部结构、存储器组织、并行输入/输出端口结构、功能与操作方法的知识，指导后续的程序模块设计。</w:t>
      </w:r>
    </w:p>
    <w:p>
      <w:pPr>
        <w:pStyle w:val="9"/>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rPr>
        <w:t>6</w:t>
      </w:r>
      <w:r>
        <w:rPr>
          <w:rFonts w:ascii="宋体" w:hAnsi="宋体" w:eastAsia="宋体" w:cs="Times New Roman"/>
          <w:color w:val="auto"/>
        </w:rPr>
        <w:t xml:space="preserve">. </w:t>
      </w:r>
      <w:r>
        <w:rPr>
          <w:rFonts w:hint="eastAsia" w:ascii="宋体" w:hAnsi="宋体" w:eastAsia="宋体" w:cs="Times New Roman"/>
          <w:color w:val="auto"/>
        </w:rPr>
        <w:t>素质</w:t>
      </w:r>
      <w:r>
        <w:rPr>
          <w:rFonts w:ascii="宋体" w:hAnsi="宋体" w:eastAsia="宋体" w:cs="Times New Roman"/>
          <w:color w:val="auto"/>
        </w:rPr>
        <w:t>目标：</w:t>
      </w:r>
      <w:r>
        <w:rPr>
          <w:rFonts w:hint="eastAsia" w:ascii="宋体" w:hAnsi="宋体" w:eastAsia="宋体" w:cs="Times New Roman"/>
          <w:color w:val="auto"/>
        </w:rPr>
        <w:t>培养学生的的家国情怀和民族自豪感</w:t>
      </w:r>
      <w:r>
        <w:rPr>
          <w:rFonts w:ascii="宋体" w:hAnsi="宋体" w:eastAsia="宋体" w:cs="Times New Roman"/>
          <w:color w:val="auto"/>
        </w:rPr>
        <w:t>。</w:t>
      </w:r>
      <w:r>
        <w:rPr>
          <w:rFonts w:hint="eastAsia" w:ascii="宋体" w:hAnsi="宋体" w:eastAsia="宋体" w:cs="Times New Roman"/>
          <w:color w:val="auto"/>
        </w:rPr>
        <w:t>通过介绍我国单片机设计和制造技术的发展历程，激发学生的爱国热情和自豪感。</w:t>
      </w:r>
    </w:p>
    <w:p>
      <w:pPr>
        <w:pStyle w:val="11"/>
        <w:snapToGrid w:val="0"/>
        <w:spacing w:line="420" w:lineRule="exact"/>
        <w:ind w:firstLine="480"/>
        <w:jc w:val="both"/>
        <w:rPr>
          <w:rFonts w:cs="Times New Roman"/>
          <w:b w:val="0"/>
          <w:color w:val="auto"/>
        </w:rPr>
      </w:pPr>
      <w:r>
        <w:rPr>
          <w:rFonts w:cs="Times New Roman"/>
          <w:b w:val="0"/>
          <w:color w:val="auto"/>
        </w:rPr>
        <w:t>内容2：指令系统与汇编语言程序设计方法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指令系统概述，汇编语言指令分类、指令格式、寻址方式，按照数据传送类指令、算术运算类指令、逻辑运算类指令、位操作类指令和控制转移类指令等五大分类对51系列单片机111条指令详解；汇编语言程序设计方法（包括顺序结构、分支结构、循环结构和子程序结构）与应用举例。</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2．重点：基于功能分类的111条指令的正确理解与运用，汇编语言程序设计方法（包括顺序结构、分支结构、循环结构和子程序结构）与应用举例。</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3.难点：汇编语言程序设计方法（包括顺序结构、分支结构、循环结构和子程序结构）与应用举例。</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了解指令系统及其相关概念，理解51系列单片机的指令分类、指令格式；掌握其寻址方式、伪指令；理解数据传送、算术运算、逻辑运算、位操作、控制转移等指令功能，掌握其应用方法；熟练掌握汇编语言程序设计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能力目标：能分析面对的问题，正确选用指令，基于汇编语言程序设计方法进行程序设计与调试，获得正确结果。</w:t>
      </w:r>
    </w:p>
    <w:p>
      <w:pPr>
        <w:pStyle w:val="9"/>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rPr>
        <w:t>6</w:t>
      </w:r>
      <w:r>
        <w:rPr>
          <w:rFonts w:ascii="宋体" w:hAnsi="宋体" w:eastAsia="宋体" w:cs="Times New Roman"/>
          <w:color w:val="auto"/>
        </w:rPr>
        <w:t xml:space="preserve">. </w:t>
      </w:r>
      <w:r>
        <w:rPr>
          <w:rFonts w:hint="eastAsia" w:ascii="宋体" w:hAnsi="宋体" w:eastAsia="宋体" w:cs="Times New Roman"/>
          <w:color w:val="auto"/>
        </w:rPr>
        <w:t>素质</w:t>
      </w:r>
      <w:r>
        <w:rPr>
          <w:rFonts w:ascii="宋体" w:hAnsi="宋体" w:eastAsia="宋体" w:cs="Times New Roman"/>
          <w:color w:val="auto"/>
        </w:rPr>
        <w:t>目标：通过学习指令系统与汇编语言程序设计方法，</w:t>
      </w:r>
      <w:r>
        <w:rPr>
          <w:rFonts w:hint="eastAsia" w:ascii="宋体" w:hAnsi="宋体" w:eastAsia="宋体" w:cs="Times New Roman"/>
          <w:color w:val="auto"/>
        </w:rPr>
        <w:t>在实际编程中锤炼严谨、专注的品质；通过编写排版整齐、美观、结构清晰、易读易懂的高质量程序，培养学生的工匠精神。</w:t>
      </w:r>
    </w:p>
    <w:p>
      <w:pPr>
        <w:pStyle w:val="11"/>
        <w:snapToGrid w:val="0"/>
        <w:spacing w:line="420" w:lineRule="exact"/>
        <w:ind w:firstLine="480"/>
        <w:jc w:val="both"/>
        <w:rPr>
          <w:rFonts w:cs="Times New Roman"/>
          <w:b w:val="0"/>
          <w:color w:val="auto"/>
        </w:rPr>
      </w:pPr>
      <w:r>
        <w:rPr>
          <w:rFonts w:cs="Times New Roman"/>
          <w:b w:val="0"/>
          <w:color w:val="auto"/>
        </w:rPr>
        <w:t>内容3：</w:t>
      </w:r>
      <w:r>
        <w:rPr>
          <w:rFonts w:cs="Times New Roman"/>
          <w:b w:val="0"/>
          <w:bCs w:val="0"/>
          <w:color w:val="auto"/>
        </w:rPr>
        <w:t>中断系统与应用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1．基本内容：中断系统的概念、特点和功能，51系列单片机的中断系统结构及工作原理、中断源与中断控制（TCON、IE、IP等寄存器），中断的处理过程、51系列单片机的中断系统应用。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2．重点：51系列单片机中断系统结构及初始化程序设计，基于中断的主子程序结构程序设计方法。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3.难点：基于中断的主子程序结构程序设计方法。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中断系统及其概念，掌握51系列单片机中断系统结构及工作原理，掌握51系列单片机中断系统的TCON、IE、IP等寄存器的功能与应用，掌握中断系统的初始化程序设计，掌握基于中断的主子程序结构程序设计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能力目标：能够根据问题场景选取合理的指令设计中断系统的初始化程序，能设计出结构正确的主子程序、调试运行。</w:t>
      </w:r>
    </w:p>
    <w:p>
      <w:pPr>
        <w:pStyle w:val="9"/>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rPr>
        <w:t>6</w:t>
      </w:r>
      <w:r>
        <w:rPr>
          <w:rFonts w:ascii="宋体" w:hAnsi="宋体" w:eastAsia="宋体" w:cs="Times New Roman"/>
          <w:color w:val="auto"/>
        </w:rPr>
        <w:t xml:space="preserve">. </w:t>
      </w:r>
      <w:r>
        <w:rPr>
          <w:rFonts w:hint="eastAsia" w:ascii="宋体" w:hAnsi="宋体" w:eastAsia="宋体" w:cs="Times New Roman"/>
          <w:color w:val="auto"/>
        </w:rPr>
        <w:t>素质</w:t>
      </w:r>
      <w:r>
        <w:rPr>
          <w:rFonts w:ascii="宋体" w:hAnsi="宋体" w:eastAsia="宋体" w:cs="Times New Roman"/>
          <w:color w:val="auto"/>
        </w:rPr>
        <w:t>目标：</w:t>
      </w:r>
      <w:r>
        <w:rPr>
          <w:rFonts w:hint="eastAsia" w:ascii="宋体" w:hAnsi="宋体" w:eastAsia="宋体" w:cs="Times New Roman"/>
          <w:color w:val="auto"/>
        </w:rPr>
        <w:t>借助KEIL和PROTEUS仿真工具，建立单片机虚拟实验平台，完成中断仿真实验，自己动手，验证结论。培养学生实事求是、追求真理的求是精神。</w:t>
      </w:r>
    </w:p>
    <w:p>
      <w:pPr>
        <w:pStyle w:val="11"/>
        <w:snapToGrid w:val="0"/>
        <w:spacing w:line="420" w:lineRule="exact"/>
        <w:ind w:firstLine="480"/>
        <w:jc w:val="both"/>
        <w:rPr>
          <w:rFonts w:cs="Times New Roman"/>
          <w:b w:val="0"/>
          <w:bCs w:val="0"/>
          <w:color w:val="auto"/>
        </w:rPr>
      </w:pPr>
      <w:r>
        <w:rPr>
          <w:rFonts w:cs="Times New Roman"/>
          <w:b w:val="0"/>
          <w:color w:val="auto"/>
        </w:rPr>
        <w:t>内容4：</w:t>
      </w:r>
      <w:r>
        <w:rPr>
          <w:rFonts w:cs="Times New Roman"/>
          <w:b w:val="0"/>
          <w:bCs w:val="0"/>
          <w:color w:val="auto"/>
        </w:rPr>
        <w:t>定时器/计数器及其应用</w:t>
      </w:r>
    </w:p>
    <w:p>
      <w:pPr>
        <w:pStyle w:val="11"/>
        <w:snapToGrid w:val="0"/>
        <w:spacing w:line="420" w:lineRule="exact"/>
        <w:jc w:val="both"/>
        <w:rPr>
          <w:rFonts w:cs="Times New Roman"/>
          <w:b w:val="0"/>
          <w:color w:val="auto"/>
        </w:rPr>
      </w:pPr>
      <w:r>
        <w:rPr>
          <w:rFonts w:cs="Times New Roman"/>
          <w:color w:val="auto"/>
        </w:rPr>
        <w:t>1．</w:t>
      </w:r>
      <w:r>
        <w:rPr>
          <w:rFonts w:cs="Times New Roman"/>
          <w:b w:val="0"/>
          <w:color w:val="auto"/>
        </w:rPr>
        <w:t>基本内容：定时器/计数器的一般结构和工作原理，51系列单片机的定时器/计数器及其控制（特殊功能寄存器TMOD），51系列单片机定时器/计数器工作模式及其应用方法。</w:t>
      </w:r>
    </w:p>
    <w:p>
      <w:pPr>
        <w:pStyle w:val="11"/>
        <w:snapToGrid w:val="0"/>
        <w:spacing w:line="420" w:lineRule="exact"/>
        <w:ind w:firstLine="480"/>
        <w:jc w:val="both"/>
        <w:rPr>
          <w:rFonts w:cs="Times New Roman"/>
          <w:color w:val="auto"/>
        </w:rPr>
      </w:pPr>
      <w:r>
        <w:rPr>
          <w:rFonts w:cs="Times New Roman"/>
          <w:b w:val="0"/>
          <w:color w:val="auto"/>
        </w:rPr>
        <w:t>2．重点：定时/计数器的四种工作模式的选择与应用方法，定时/计数器的初始化编程方法，门控位应用方法。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3.难点：定时/计数器的四种工作模式的选择与应用编程方法、门控位应用方法。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知识目标：掌握51系列单片机定时/计数器结构及工作原理，掌握定时/计数器T0,T1的工作模式选择与应用程序设计方法，掌握应用门控位解决具体问题的方法与步骤。</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能力目标：能够根据应用要求，正确的选择定时/计数器的工作模式，并能够正确编写初始化子程序，会灵活的使用门控位解决具体问题、编写应用程序。</w:t>
      </w:r>
    </w:p>
    <w:p>
      <w:pPr>
        <w:pStyle w:val="9"/>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rPr>
        <w:t>6</w:t>
      </w:r>
      <w:r>
        <w:rPr>
          <w:rFonts w:ascii="宋体" w:hAnsi="宋体" w:eastAsia="宋体" w:cs="Times New Roman"/>
          <w:color w:val="auto"/>
        </w:rPr>
        <w:t xml:space="preserve">. </w:t>
      </w:r>
      <w:r>
        <w:rPr>
          <w:rFonts w:hint="eastAsia" w:ascii="宋体" w:hAnsi="宋体" w:eastAsia="宋体" w:cs="Times New Roman"/>
          <w:color w:val="auto"/>
        </w:rPr>
        <w:t>素质</w:t>
      </w:r>
      <w:r>
        <w:rPr>
          <w:rFonts w:ascii="宋体" w:hAnsi="宋体" w:eastAsia="宋体" w:cs="Times New Roman"/>
          <w:color w:val="auto"/>
        </w:rPr>
        <w:t>目标：通过</w:t>
      </w:r>
      <w:r>
        <w:rPr>
          <w:rFonts w:hint="eastAsia" w:ascii="宋体" w:hAnsi="宋体" w:eastAsia="宋体" w:cs="Times New Roman"/>
          <w:color w:val="auto"/>
        </w:rPr>
        <w:t>定时器/计数器的学习，培养学生诚实守信、准时守约的个人品质。</w:t>
      </w:r>
    </w:p>
    <w:p>
      <w:pPr>
        <w:pStyle w:val="11"/>
        <w:snapToGrid w:val="0"/>
        <w:spacing w:line="420" w:lineRule="exact"/>
        <w:ind w:firstLine="480"/>
        <w:jc w:val="both"/>
        <w:rPr>
          <w:rFonts w:cs="Times New Roman"/>
          <w:b w:val="0"/>
          <w:bCs w:val="0"/>
          <w:color w:val="auto"/>
        </w:rPr>
      </w:pPr>
      <w:r>
        <w:rPr>
          <w:rFonts w:cs="Times New Roman"/>
          <w:b w:val="0"/>
          <w:color w:val="auto"/>
        </w:rPr>
        <w:t>内容5：</w:t>
      </w:r>
      <w:r>
        <w:rPr>
          <w:rFonts w:cs="Times New Roman"/>
          <w:b w:val="0"/>
          <w:bCs w:val="0"/>
          <w:color w:val="auto"/>
        </w:rPr>
        <w:t>串行通信及其应用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1．基本内容：串行通信的基本方式、串行通信接口标准，51系列单片机串行接口的结构与控制，51系列单片机串行接口的工作模式与应用举例，51系列单片机之间及单片机与PC之间的通信。</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2．重点：51系列单片机串行接口的结构、初始化编程技术，单片机之间及单片机与PC机之间的通信。</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3.难点：单片机之间及单片机与PC机之间的通信。</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串行通信基础、串行通信接口标准及相关概念，掌握51系列单片机串行接口功能与控制方法（特殊功能寄存器SCON），掌握串行通信工作方式的设置及初始化编程技术，掌握串行接口点对点、PC机与单片机的串行通信的编程，理解单片机的串行接口多点通信的应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能力目标：能够正确选用指令编写串口的初始化程序，编写PC机与单片机的串行通信的应用程序。</w:t>
      </w:r>
    </w:p>
    <w:p>
      <w:pPr>
        <w:pStyle w:val="9"/>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rPr>
        <w:t>6</w:t>
      </w:r>
      <w:r>
        <w:rPr>
          <w:rFonts w:ascii="宋体" w:hAnsi="宋体" w:eastAsia="宋体" w:cs="Times New Roman"/>
          <w:color w:val="auto"/>
        </w:rPr>
        <w:t xml:space="preserve">. </w:t>
      </w:r>
      <w:r>
        <w:rPr>
          <w:rFonts w:hint="eastAsia" w:ascii="宋体" w:hAnsi="宋体" w:eastAsia="宋体" w:cs="Times New Roman"/>
          <w:color w:val="auto"/>
        </w:rPr>
        <w:t>素质</w:t>
      </w:r>
      <w:r>
        <w:rPr>
          <w:rFonts w:ascii="宋体" w:hAnsi="宋体" w:eastAsia="宋体" w:cs="Times New Roman"/>
          <w:color w:val="auto"/>
        </w:rPr>
        <w:t>目标：通过</w:t>
      </w:r>
      <w:r>
        <w:rPr>
          <w:rFonts w:hint="eastAsia" w:ascii="宋体" w:hAnsi="宋体" w:eastAsia="宋体" w:cs="Times New Roman"/>
          <w:color w:val="auto"/>
        </w:rPr>
        <w:t>单片机之间串行通信的学习，让学生明白与他人交流、相互学习的重要性。培养学生注重与他人沟通、重视团队合作的协作精神。</w:t>
      </w:r>
    </w:p>
    <w:p>
      <w:pPr>
        <w:pStyle w:val="11"/>
        <w:snapToGrid w:val="0"/>
        <w:spacing w:line="420" w:lineRule="exact"/>
        <w:ind w:firstLine="480"/>
        <w:jc w:val="both"/>
        <w:rPr>
          <w:rFonts w:cs="Times New Roman"/>
          <w:b w:val="0"/>
          <w:bCs w:val="0"/>
          <w:color w:val="auto"/>
        </w:rPr>
      </w:pPr>
      <w:r>
        <w:rPr>
          <w:rFonts w:cs="Times New Roman"/>
          <w:b w:val="0"/>
          <w:color w:val="auto"/>
        </w:rPr>
        <w:t>内容6：</w:t>
      </w:r>
      <w:r>
        <w:rPr>
          <w:rFonts w:cs="Times New Roman"/>
          <w:b w:val="0"/>
          <w:bCs w:val="0"/>
          <w:color w:val="auto"/>
        </w:rPr>
        <w:t>微机应用系统设计</w:t>
      </w:r>
    </w:p>
    <w:p>
      <w:pPr>
        <w:pStyle w:val="5"/>
        <w:shd w:val="clear" w:color="auto" w:fill="FFFFFF"/>
        <w:adjustRightInd w:val="0"/>
        <w:snapToGrid w:val="0"/>
        <w:spacing w:line="420" w:lineRule="exact"/>
        <w:ind w:firstLine="480" w:firstLineChars="200"/>
        <w:jc w:val="both"/>
        <w:rPr>
          <w:rFonts w:hAnsi="宋体"/>
        </w:rPr>
      </w:pPr>
      <w:r>
        <w:rPr>
          <w:rFonts w:hAnsi="宋体"/>
        </w:rPr>
        <w:t>1．基本内容：51系列单片机的总线扩展技术，程序存储器和、数据存储器扩展技术，简单并行I/O接口、可编程I/O接口（8255A和8155）的扩展技术与应用，51系列单片机串行接口扩展并行I/O接口方法，键盘工作原理与接口技术、显示器(LED/LCD)工作原理及接口技术，D/A、A/D转换器工作原理及其与单片机的接口技术，开关量输入/输出接口技术。单片机应用系统的基本结构和设计过程，单片机应用系统硬软件设计方法、抗干扰技术，步进电机控制应用系统设计举例。</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2．重点：51系列单片机的总线扩展技术，并行可编程接口技术，D/A、A/D转换原理及其与单片机的接口技术，单片机应用系统的设计、调试方法。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3.难点：存储器扩展技术、接口扩展技术的编址方法，矩阵式键盘工作原理与编程、显示器(LED/LCD)接口技术与编程，D/A、A/D转换器及其与单片机的接口技术与编程。</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51系列单片机的总线扩展技术、存储器的扩展技术，掌握并行接口的扩展技术与应用，掌握键盘工作原理、显示器(LED/LCD)工作原理及其接口技术，掌握D/A、A/D转换器工作原理及其与单片机的接口技术，掌握开关量输入/输出接口技术，掌握单片机应用系统的硬软件设计方法与调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能力目标：能设计51系列单片机总线扩展系统，能选择接口芯片设计出需要的接口并编写接口程序，能选择满足需要的D/A、A/D转换器、编写应用程序模块，能根据具体问题设计应用系统的硬软件、并会调试。</w:t>
      </w:r>
    </w:p>
    <w:p>
      <w:pPr>
        <w:pStyle w:val="9"/>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rPr>
        <w:t>6</w:t>
      </w:r>
      <w:r>
        <w:rPr>
          <w:rFonts w:ascii="宋体" w:hAnsi="宋体" w:eastAsia="宋体" w:cs="Times New Roman"/>
          <w:color w:val="auto"/>
        </w:rPr>
        <w:t xml:space="preserve">. </w:t>
      </w:r>
      <w:r>
        <w:rPr>
          <w:rFonts w:hint="eastAsia" w:ascii="宋体" w:hAnsi="宋体" w:eastAsia="宋体" w:cs="Times New Roman"/>
          <w:color w:val="auto"/>
        </w:rPr>
        <w:t>素质</w:t>
      </w:r>
      <w:r>
        <w:rPr>
          <w:rFonts w:ascii="宋体" w:hAnsi="宋体" w:eastAsia="宋体" w:cs="Times New Roman"/>
          <w:color w:val="auto"/>
        </w:rPr>
        <w:t>目标：</w:t>
      </w:r>
      <w:r>
        <w:rPr>
          <w:rFonts w:hint="eastAsia" w:ascii="宋体" w:hAnsi="宋体" w:eastAsia="宋体" w:cs="Times New Roman"/>
          <w:color w:val="auto"/>
        </w:rPr>
        <w:t>通过开放性课题，鼓励学生大胆创新，勇于采用自己的方案，按自己的构想去完成预定的任务指标，做独特的自己。培养学生养成独立思考的习惯、增强科技创新意识。</w:t>
      </w:r>
    </w:p>
    <w:p>
      <w:pPr>
        <w:pStyle w:val="11"/>
        <w:snapToGrid w:val="0"/>
        <w:spacing w:line="420" w:lineRule="exact"/>
        <w:ind w:firstLine="480"/>
        <w:jc w:val="both"/>
        <w:rPr>
          <w:rFonts w:cs="Times New Roman"/>
          <w:b w:val="0"/>
          <w:color w:val="auto"/>
        </w:rPr>
      </w:pPr>
      <w:r>
        <w:rPr>
          <w:rFonts w:cs="Times New Roman"/>
          <w:b w:val="0"/>
          <w:color w:val="auto"/>
        </w:rPr>
        <w:t>内容7：微机应用系统集成开发工具</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1．基本内容：C51的结构与特点，C51的扩展数据类型，存贮器类型和存贮模式，C51的绝对地址访问，C51的中断函数，C51的预处理命令，keil开发系统。</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2．重点：51系列单片机keil开发环境的建立与应用，Protues软件使用。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 难点：基于Protues软件的综合仿真。</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知识目标：理解C51的结构与特点、C51的扩展数据类型、存贮器类型、C51的预处理命令和存贮模式及C51的绝对地址访问，掌握C51中断函数结构及其程序编写，熟练掌握keil开发环境，熟悉Protues软件使用。</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能力目标：能够编程实现具体要求的C51应用程序，并能够在Keil环境中完成调试及和Protues软件联合应用。</w:t>
      </w:r>
    </w:p>
    <w:p>
      <w:pPr>
        <w:pStyle w:val="9"/>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rPr>
        <w:t>6</w:t>
      </w:r>
      <w:r>
        <w:rPr>
          <w:rFonts w:ascii="宋体" w:hAnsi="宋体" w:eastAsia="宋体" w:cs="Times New Roman"/>
          <w:color w:val="auto"/>
        </w:rPr>
        <w:t xml:space="preserve">. </w:t>
      </w:r>
      <w:r>
        <w:rPr>
          <w:rFonts w:hint="eastAsia" w:ascii="宋体" w:hAnsi="宋体" w:eastAsia="宋体" w:cs="Times New Roman"/>
          <w:color w:val="auto"/>
        </w:rPr>
        <w:t>素质目标：单片机程序中的错误对于初学者不容易发现和改正，需要学生极大的耐心和顽强的意志才能克服。通过使用集成开发工具不断的调试程序，培养学生坚韧不拔的意志品质。</w:t>
      </w:r>
    </w:p>
    <w:p>
      <w:pPr>
        <w:pStyle w:val="11"/>
        <w:snapToGrid w:val="0"/>
        <w:spacing w:line="420" w:lineRule="exact"/>
        <w:ind w:firstLine="0" w:firstLineChars="0"/>
        <w:rPr>
          <w:rFonts w:cs="Times New Roman"/>
          <w:color w:val="auto"/>
        </w:rPr>
      </w:pPr>
      <w:r>
        <w:rPr>
          <w:rFonts w:cs="Times New Roman"/>
          <w:color w:val="auto"/>
        </w:rPr>
        <w:t>（二）实验教学部分</w:t>
      </w:r>
    </w:p>
    <w:p>
      <w:pPr>
        <w:spacing w:line="420" w:lineRule="exact"/>
        <w:ind w:firstLine="199" w:firstLineChars="83"/>
        <w:rPr>
          <w:rFonts w:ascii="宋体" w:hAnsi="宋体" w:eastAsia="宋体" w:cs="Times New Roman"/>
          <w:sz w:val="24"/>
        </w:rPr>
      </w:pPr>
      <w:r>
        <w:rPr>
          <w:rFonts w:hint="eastAsia" w:ascii="宋体" w:hAnsi="宋体" w:eastAsia="宋体" w:cs="Times New Roman"/>
          <w:sz w:val="24"/>
        </w:rPr>
        <w:t>实验1：程序编写与调试运行环境</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1.实验内容：用环境功能实现在内部数据连续的单元填入00-0FH值，观察结果；编程实现将内部数据存储器XXH单元中的数据（压缩的BCD码，自己定义）转换为二进制数存入指定的单元。</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2.实验目标：熟悉Keil、伟福集成开发环境功能，会使用集成开发环境完成单片机应用程序的设计、编程与调试过程，并获得正确的结果。培养学生使用国产开发软件的爱国精神。</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实验2：分支程序设计方法</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1.实验内容：自定义若干学生的课程成绩，统计出其中优秀（90分以上）、良好（89-80）、中等（79-70）、及格（60-69）和不及格（60分以下）的人数，存入指定的单元或者在数码管上显示。</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2.实验目标：熟练掌握Keil、伟福集成开发环境功能，能使用集成开发环境完成以分支程序设计方法为主的单片机应用程序的设计、编程与调试，并获得正确的结果。在调试程序过程中培养学生契而不舍的精神。</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实验3：软件延时与定时器的应用</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1.实验内容：分别用软件延时和定时器定时的方法，设计、编程实现单片机P1.0口连接的LED灯的亮灭变化控制。</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2.实验目标：熟练掌握Keil、伟福集成开发环境功能，会选择实现定时的方法，能使用集成开发环境完成满足定时要求的单片机应用程序的设计、编程与调试，并获得正确的结果。培养学生采用不同方法解决问题的探索精神。</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实验4：独立按键扩展与识别</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1.实验内容：扩展4个独立按键，在程序正常运行时P1口的8个LED灯作单灯左移点亮，如此循环；当某个键按下时，则改变为自己定义的点亮方式。</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2.实验目标：熟练掌握Keil、伟福集成开发环境功能，会应用中断或者查询方式实现键盘扩展，能扩展键盘完成满足要求的单片机应用程序的设计、编程与调试，并获得正确的结果。培养学生团队协作精神。</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实验5：数码管显示器与键盘接口实验</w:t>
      </w:r>
    </w:p>
    <w:p>
      <w:pPr>
        <w:spacing w:line="420" w:lineRule="exact"/>
        <w:ind w:left="218" w:leftChars="104" w:firstLine="13"/>
        <w:rPr>
          <w:rFonts w:ascii="宋体" w:hAnsi="宋体" w:eastAsia="宋体" w:cs="Times New Roman"/>
          <w:sz w:val="24"/>
        </w:rPr>
      </w:pPr>
      <w:r>
        <w:rPr>
          <w:rFonts w:hint="eastAsia" w:ascii="宋体" w:hAnsi="宋体" w:eastAsia="宋体" w:cs="Times New Roman"/>
          <w:sz w:val="24"/>
        </w:rPr>
        <w:t>1.实验内容：扩展按键和数码管，实现不同键按下时显示不同的数字；每当自己定义的某个键按下时，数码管数字加1，超过9时减1显示。分别在实验板上和基于Protues仿真完成。</w:t>
      </w:r>
    </w:p>
    <w:p>
      <w:pPr>
        <w:spacing w:line="420" w:lineRule="exact"/>
        <w:ind w:left="218" w:leftChars="104" w:firstLine="13"/>
        <w:rPr>
          <w:rFonts w:hint="eastAsia" w:ascii="宋体" w:hAnsi="宋体" w:eastAsia="宋体" w:cs="Times New Roman"/>
          <w:sz w:val="24"/>
        </w:rPr>
      </w:pPr>
      <w:r>
        <w:rPr>
          <w:rFonts w:hint="eastAsia" w:ascii="宋体" w:hAnsi="宋体" w:eastAsia="宋体" w:cs="Times New Roman"/>
          <w:sz w:val="24"/>
        </w:rPr>
        <w:t>2.实验目标：熟练掌握Keil、伟福集成开发环境功能，熟悉Protues的使用，会使用数码管实现相应的显示，能使用集成开发环境完成满足要求的单片机应用程序的设计、编程与调试，并获得正确的结果。培养学生勇于尝试、小心求证的创新意识。</w:t>
      </w:r>
    </w:p>
    <w:p>
      <w:pPr>
        <w:spacing w:line="420" w:lineRule="exact"/>
        <w:ind w:left="218" w:leftChars="104" w:firstLine="13"/>
        <w:rPr>
          <w:rFonts w:hint="eastAsia" w:ascii="宋体" w:hAnsi="宋体" w:eastAsia="宋体" w:cs="Times New Roman"/>
          <w:sz w:val="24"/>
        </w:rPr>
      </w:pPr>
    </w:p>
    <w:p>
      <w:pPr>
        <w:spacing w:line="420" w:lineRule="exact"/>
        <w:ind w:left="218" w:leftChars="104" w:firstLine="13"/>
        <w:rPr>
          <w:rFonts w:hint="eastAsia" w:ascii="宋体" w:hAnsi="宋体" w:eastAsia="宋体" w:cs="Times New Roman"/>
          <w:sz w:val="24"/>
        </w:rPr>
      </w:pPr>
      <w:bookmarkStart w:id="1" w:name="_GoBack"/>
      <w:bookmarkEnd w:id="1"/>
    </w:p>
    <w:p>
      <w:pPr>
        <w:pStyle w:val="9"/>
        <w:snapToGrid w:val="0"/>
        <w:spacing w:before="156" w:beforeLines="50" w:after="156" w:afterLines="50" w:line="420" w:lineRule="exact"/>
        <w:rPr>
          <w:rFonts w:ascii="宋体" w:hAnsi="宋体" w:eastAsia="宋体" w:cs="Times New Roman"/>
          <w:b/>
          <w:bCs/>
          <w:color w:val="auto"/>
        </w:rPr>
      </w:pPr>
      <w:r>
        <w:rPr>
          <w:rFonts w:ascii="宋体" w:hAnsi="宋体" w:eastAsia="宋体" w:cs="Times New Roman"/>
          <w:b/>
          <w:bCs/>
          <w:color w:val="auto"/>
          <w:sz w:val="28"/>
          <w:szCs w:val="28"/>
        </w:rPr>
        <w:t>五、教学内容、教学方式与课程目标的支撑关系</w:t>
      </w:r>
    </w:p>
    <w:tbl>
      <w:tblPr>
        <w:tblStyle w:val="6"/>
        <w:tblW w:w="8473" w:type="dxa"/>
        <w:jc w:val="center"/>
        <w:tblLayout w:type="fixed"/>
        <w:tblCellMar>
          <w:top w:w="0" w:type="dxa"/>
          <w:left w:w="57" w:type="dxa"/>
          <w:bottom w:w="0" w:type="dxa"/>
          <w:right w:w="57" w:type="dxa"/>
        </w:tblCellMar>
      </w:tblPr>
      <w:tblGrid>
        <w:gridCol w:w="1339"/>
        <w:gridCol w:w="3570"/>
        <w:gridCol w:w="1285"/>
        <w:gridCol w:w="1143"/>
        <w:gridCol w:w="1136"/>
      </w:tblGrid>
      <w:tr>
        <w:tblPrEx>
          <w:tblCellMar>
            <w:top w:w="0" w:type="dxa"/>
            <w:left w:w="57" w:type="dxa"/>
            <w:bottom w:w="0" w:type="dxa"/>
            <w:right w:w="57" w:type="dxa"/>
          </w:tblCellMar>
        </w:tblPrEx>
        <w:trPr>
          <w:trHeight w:val="448" w:hRule="atLeast"/>
          <w:jc w:val="center"/>
        </w:trPr>
        <w:tc>
          <w:tcPr>
            <w:tcW w:w="1339" w:type="dxa"/>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课程目标</w:t>
            </w:r>
          </w:p>
        </w:tc>
        <w:tc>
          <w:tcPr>
            <w:tcW w:w="3570" w:type="dxa"/>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教学内容</w:t>
            </w:r>
          </w:p>
        </w:tc>
        <w:tc>
          <w:tcPr>
            <w:tcW w:w="3564" w:type="dxa"/>
            <w:gridSpan w:val="3"/>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教学方式</w:t>
            </w:r>
          </w:p>
        </w:tc>
      </w:tr>
      <w:tr>
        <w:tblPrEx>
          <w:tblCellMar>
            <w:top w:w="0" w:type="dxa"/>
            <w:left w:w="57" w:type="dxa"/>
            <w:bottom w:w="0" w:type="dxa"/>
            <w:right w:w="57" w:type="dxa"/>
          </w:tblCellMar>
        </w:tblPrEx>
        <w:trPr>
          <w:trHeight w:val="21" w:hRule="atLeast"/>
          <w:jc w:val="center"/>
        </w:trPr>
        <w:tc>
          <w:tcPr>
            <w:tcW w:w="133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3570" w:type="dxa"/>
            <w:vMerge w:val="continue"/>
            <w:tcBorders>
              <w:top w:val="nil"/>
              <w:left w:val="nil"/>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宋体" w:hAnsi="宋体" w:eastAsia="宋体" w:cs="Times New Roman"/>
                <w:b/>
                <w:bCs/>
                <w:szCs w:val="21"/>
              </w:rPr>
            </w:pPr>
            <w:r>
              <w:rPr>
                <w:rFonts w:ascii="宋体" w:hAnsi="宋体" w:eastAsia="宋体" w:cs="Times New Roman"/>
                <w:b/>
                <w:bCs/>
                <w:szCs w:val="21"/>
              </w:rPr>
              <w:t>线下教学</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宋体" w:hAnsi="宋体" w:eastAsia="宋体" w:cs="Times New Roman"/>
                <w:b/>
                <w:bCs/>
                <w:szCs w:val="21"/>
              </w:rPr>
            </w:pPr>
            <w:r>
              <w:rPr>
                <w:rFonts w:ascii="宋体" w:hAnsi="宋体" w:eastAsia="宋体" w:cs="Times New Roman"/>
                <w:b/>
                <w:bCs/>
                <w:szCs w:val="21"/>
              </w:rPr>
              <w:t>混合教学</w:t>
            </w: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宋体" w:hAnsi="宋体" w:eastAsia="宋体" w:cs="Times New Roman"/>
                <w:b/>
                <w:bCs/>
                <w:i/>
                <w:iCs/>
                <w:szCs w:val="21"/>
              </w:rPr>
            </w:pPr>
            <w:r>
              <w:rPr>
                <w:rFonts w:ascii="宋体" w:hAnsi="宋体" w:eastAsia="宋体" w:cs="Times New Roman"/>
                <w:b/>
                <w:bCs/>
                <w:szCs w:val="21"/>
              </w:rPr>
              <w:t>线上教学</w:t>
            </w:r>
          </w:p>
        </w:tc>
      </w:tr>
      <w:tr>
        <w:tblPrEx>
          <w:tblCellMar>
            <w:top w:w="0" w:type="dxa"/>
            <w:left w:w="57" w:type="dxa"/>
            <w:bottom w:w="0" w:type="dxa"/>
            <w:right w:w="57" w:type="dxa"/>
          </w:tblCellMar>
        </w:tblPrEx>
        <w:trPr>
          <w:trHeight w:val="21"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课程目标1</w:t>
            </w:r>
          </w:p>
        </w:tc>
        <w:tc>
          <w:tcPr>
            <w:tcW w:w="3570" w:type="dxa"/>
            <w:tcBorders>
              <w:top w:val="single" w:color="auto" w:sz="4" w:space="0"/>
              <w:left w:val="nil"/>
              <w:bottom w:val="single" w:color="auto" w:sz="4" w:space="0"/>
              <w:right w:val="single" w:color="auto" w:sz="4" w:space="0"/>
            </w:tcBorders>
            <w:vAlign w:val="center"/>
          </w:tcPr>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内容1：</w:t>
            </w:r>
            <w:r>
              <w:rPr>
                <w:rFonts w:ascii="宋体" w:hAnsi="宋体" w:eastAsia="宋体" w:cs="Times New Roman"/>
              </w:rPr>
              <w:t>微型计算机与单片微型计算机基础</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内容2：</w:t>
            </w:r>
            <w:r>
              <w:rPr>
                <w:rFonts w:ascii="宋体" w:hAnsi="宋体" w:eastAsia="宋体" w:cs="Times New Roman"/>
              </w:rPr>
              <w:t>指令系统与汇编语言程序设计方法</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内容3：</w:t>
            </w:r>
            <w:r>
              <w:rPr>
                <w:rFonts w:ascii="宋体" w:hAnsi="宋体" w:eastAsia="宋体" w:cs="Times New Roman"/>
              </w:rPr>
              <w:t>中断系统与应用</w:t>
            </w:r>
          </w:p>
          <w:p>
            <w:pPr>
              <w:pStyle w:val="2"/>
              <w:adjustRightInd w:val="0"/>
              <w:snapToGrid w:val="0"/>
              <w:ind w:firstLine="0" w:firstLineChars="0"/>
              <w:jc w:val="both"/>
              <w:rPr>
                <w:rFonts w:ascii="宋体" w:hAnsi="宋体"/>
              </w:rPr>
            </w:pPr>
            <w:r>
              <w:rPr>
                <w:rFonts w:ascii="宋体" w:hAnsi="宋体"/>
                <w:kern w:val="0"/>
                <w:szCs w:val="21"/>
              </w:rPr>
              <w:t>内容4：</w:t>
            </w:r>
            <w:r>
              <w:rPr>
                <w:rFonts w:ascii="宋体" w:hAnsi="宋体"/>
              </w:rPr>
              <w:t>定时器/计数器及其应用</w:t>
            </w:r>
          </w:p>
          <w:p>
            <w:pPr>
              <w:pStyle w:val="2"/>
              <w:adjustRightInd w:val="0"/>
              <w:snapToGrid w:val="0"/>
              <w:ind w:firstLine="0" w:firstLineChars="0"/>
              <w:jc w:val="both"/>
              <w:rPr>
                <w:rFonts w:ascii="宋体" w:hAnsi="宋体"/>
              </w:rPr>
            </w:pPr>
            <w:r>
              <w:rPr>
                <w:rFonts w:ascii="宋体" w:hAnsi="宋体"/>
                <w:kern w:val="0"/>
                <w:szCs w:val="21"/>
              </w:rPr>
              <w:t>内容5：</w:t>
            </w:r>
            <w:r>
              <w:rPr>
                <w:rFonts w:ascii="宋体" w:hAnsi="宋体"/>
              </w:rPr>
              <w:t>串行通信及其应用</w:t>
            </w:r>
          </w:p>
          <w:p>
            <w:pPr>
              <w:pStyle w:val="2"/>
              <w:adjustRightInd w:val="0"/>
              <w:snapToGrid w:val="0"/>
              <w:ind w:firstLine="0" w:firstLineChars="0"/>
              <w:jc w:val="both"/>
              <w:rPr>
                <w:rFonts w:ascii="宋体" w:hAnsi="宋体"/>
                <w:szCs w:val="21"/>
              </w:rPr>
            </w:pPr>
            <w:r>
              <w:rPr>
                <w:rFonts w:ascii="宋体" w:hAnsi="宋体"/>
              </w:rPr>
              <w:t>实验1—实验3</w:t>
            </w: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r>
              <w:rPr>
                <w:rFonts w:ascii="宋体" w:hAnsi="宋体" w:eastAsia="宋体" w:cs="Times New Roman"/>
                <w:bCs/>
                <w:kern w:val="0"/>
                <w:szCs w:val="21"/>
              </w:rPr>
              <w:t>√</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
                <w:bCs/>
                <w:i/>
                <w:iCs/>
                <w:kern w:val="0"/>
                <w:szCs w:val="21"/>
              </w:rPr>
            </w:pPr>
          </w:p>
        </w:tc>
      </w:tr>
      <w:tr>
        <w:tblPrEx>
          <w:tblCellMar>
            <w:top w:w="0" w:type="dxa"/>
            <w:left w:w="57" w:type="dxa"/>
            <w:bottom w:w="0" w:type="dxa"/>
            <w:right w:w="57" w:type="dxa"/>
          </w:tblCellMar>
        </w:tblPrEx>
        <w:trPr>
          <w:trHeight w:val="21"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课程目标2</w:t>
            </w:r>
          </w:p>
        </w:tc>
        <w:tc>
          <w:tcPr>
            <w:tcW w:w="3570" w:type="dxa"/>
            <w:tcBorders>
              <w:top w:val="single" w:color="auto" w:sz="4" w:space="0"/>
              <w:left w:val="nil"/>
              <w:bottom w:val="single" w:color="auto" w:sz="4" w:space="0"/>
              <w:right w:val="single" w:color="auto" w:sz="4" w:space="0"/>
            </w:tcBorders>
            <w:vAlign w:val="center"/>
          </w:tcPr>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内容2：</w:t>
            </w:r>
            <w:r>
              <w:rPr>
                <w:rFonts w:ascii="宋体" w:hAnsi="宋体" w:eastAsia="宋体" w:cs="Times New Roman"/>
              </w:rPr>
              <w:t>指令系统与汇编语言程序设计方法</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内容6：</w:t>
            </w:r>
            <w:r>
              <w:rPr>
                <w:rFonts w:ascii="宋体" w:hAnsi="宋体" w:eastAsia="宋体" w:cs="Times New Roman"/>
              </w:rPr>
              <w:t>微机应用系统设计</w:t>
            </w:r>
          </w:p>
          <w:p>
            <w:pPr>
              <w:autoSpaceDE w:val="0"/>
              <w:adjustRightInd w:val="0"/>
              <w:snapToGrid w:val="0"/>
              <w:rPr>
                <w:rFonts w:ascii="宋体" w:hAnsi="宋体" w:eastAsia="宋体" w:cs="Times New Roman"/>
                <w:kern w:val="0"/>
                <w:szCs w:val="21"/>
              </w:rPr>
            </w:pPr>
            <w:r>
              <w:rPr>
                <w:rFonts w:ascii="宋体" w:hAnsi="宋体" w:eastAsia="宋体" w:cs="Times New Roman"/>
                <w:kern w:val="0"/>
                <w:szCs w:val="21"/>
              </w:rPr>
              <w:t>内容7：</w:t>
            </w:r>
            <w:r>
              <w:rPr>
                <w:rFonts w:ascii="宋体" w:hAnsi="宋体" w:eastAsia="宋体" w:cs="Times New Roman"/>
              </w:rPr>
              <w:t>微机应用系统集成开发工具</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实验4—实验5</w:t>
            </w: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r>
              <w:rPr>
                <w:rFonts w:ascii="宋体" w:hAnsi="宋体" w:eastAsia="宋体" w:cs="Times New Roman"/>
                <w:bCs/>
                <w:kern w:val="0"/>
                <w:szCs w:val="21"/>
              </w:rPr>
              <w:t>√</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
                <w:bCs/>
                <w:kern w:val="0"/>
                <w:szCs w:val="21"/>
              </w:rPr>
            </w:pPr>
          </w:p>
        </w:tc>
      </w:tr>
    </w:tbl>
    <w:p>
      <w:pPr>
        <w:pStyle w:val="9"/>
        <w:snapToGrid w:val="0"/>
        <w:spacing w:before="312" w:beforeLines="100" w:line="420" w:lineRule="exact"/>
        <w:rPr>
          <w:rFonts w:ascii="宋体" w:hAnsi="宋体" w:eastAsia="宋体" w:cs="Times New Roman"/>
          <w:color w:val="auto"/>
          <w:sz w:val="21"/>
        </w:rPr>
      </w:pPr>
      <w:r>
        <w:rPr>
          <w:rFonts w:ascii="宋体" w:hAnsi="宋体" w:eastAsia="宋体" w:cs="Times New Roman"/>
          <w:b/>
          <w:bCs/>
          <w:color w:val="auto"/>
          <w:sz w:val="28"/>
          <w:szCs w:val="28"/>
        </w:rPr>
        <w:t>六、课程教学方法与学时分配</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（一）教学方法</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激发兴趣：引导、激发和培养学生的学习积极性和主动性，让学生对课程的性质地位、及各部分的内容与要求有一个概括认识和总体印象，以问题和应用性导向，列举生产生活中的技术应用特别是微型计算机应用实例，使课程更有趣，让学生有直观认知，对课程学习产生兴趣。</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 合理安排和组织教学进程：从微型计算机、单片机基本知识的基础引入，把新技术的产生与应用、科学家及其精神插入讲授中，以学生乐学为前提，深入浅出，循序渐进，使学生容易接受，容易理解，学会思考学习，增强爱国情怀。</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 融洽的师生交流启发互动：教师提出问题，启发学生积极参与教学过程、在学习过程中学会提问，学会学习，成为真正意义上的主体。</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多媒体技术与线上教学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课程MOOC课堂为学生提供自学的条件和环境。</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有效的提问和作业：作业是检验学生对所学知识掌握与应用情况的有效的手段。为了达到让学生不仅吸收所学知识，并且将知识融会贯通、学以致用，教师就要引导性的留思考题，布置作业。从基础知识出发，引发学生思考，拓展学生思维。让学生在自己完成作业的过程中，锻炼思维能力、创新能力和培养实事求是的良好学风。</w:t>
      </w:r>
    </w:p>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应用导向的课程实验：利用课程网络资源和自主研发的单片机综合实验板，以知识作为基础，以培养单片机应用系统设计开发能力为根本，突出设计性、综合性的课程特点，使学生通过分析、选择和综合，完成具体任务的硬软件设计、编程、调试和运行，最后获得正确有趣的结果。达到课程培养学生解决问题的能力。</w:t>
      </w:r>
    </w:p>
    <w:p>
      <w:pPr>
        <w:pStyle w:val="9"/>
        <w:tabs>
          <w:tab w:val="left" w:pos="2517"/>
        </w:tabs>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(二)学时分配</w:t>
      </w:r>
      <w:r>
        <w:rPr>
          <w:rFonts w:hint="eastAsia" w:ascii="宋体" w:hAnsi="宋体" w:eastAsia="宋体" w:cs="Times New Roman"/>
          <w:color w:val="auto"/>
        </w:rPr>
        <w:tab/>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54"/>
        <w:gridCol w:w="638"/>
        <w:gridCol w:w="638"/>
        <w:gridCol w:w="638"/>
        <w:gridCol w:w="638"/>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实验</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上机</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内容1:</w:t>
            </w:r>
            <w:r>
              <w:rPr>
                <w:rFonts w:ascii="宋体" w:hAnsi="宋体" w:eastAsia="宋体" w:cs="Times New Roman"/>
              </w:rPr>
              <w:t xml:space="preserve"> 微型计算机与单片微型计算机基础</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12</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内容2:</w:t>
            </w:r>
            <w:r>
              <w:rPr>
                <w:rFonts w:ascii="宋体" w:hAnsi="宋体" w:eastAsia="宋体" w:cs="Times New Roman"/>
              </w:rPr>
              <w:t xml:space="preserve"> 指令系统与汇编语言程序设计方法</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内容3:</w:t>
            </w:r>
            <w:r>
              <w:rPr>
                <w:rFonts w:ascii="宋体" w:hAnsi="宋体" w:eastAsia="宋体" w:cs="Times New Roman"/>
              </w:rPr>
              <w:t xml:space="preserve"> 中断系统与应用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4</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内容4:</w:t>
            </w:r>
            <w:r>
              <w:rPr>
                <w:rFonts w:ascii="宋体" w:hAnsi="宋体" w:eastAsia="宋体" w:cs="Times New Roman"/>
              </w:rPr>
              <w:t xml:space="preserve"> 定时器/计数器及其应用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内容5:</w:t>
            </w:r>
            <w:r>
              <w:rPr>
                <w:rFonts w:ascii="宋体" w:hAnsi="宋体" w:eastAsia="宋体" w:cs="Times New Roman"/>
              </w:rPr>
              <w:t xml:space="preserve"> 串行通信及其应用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内容6:</w:t>
            </w:r>
            <w:r>
              <w:rPr>
                <w:rFonts w:ascii="宋体" w:hAnsi="宋体" w:eastAsia="宋体" w:cs="Times New Roman"/>
              </w:rPr>
              <w:t xml:space="preserve"> 微机应用系统设计</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内容7:</w:t>
            </w:r>
            <w:r>
              <w:rPr>
                <w:rFonts w:ascii="宋体" w:hAnsi="宋体" w:eastAsia="宋体" w:cs="Times New Roman"/>
              </w:rPr>
              <w:t xml:space="preserve"> 微机应用系统集成开发工具</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实验1：</w:t>
            </w:r>
            <w:r>
              <w:rPr>
                <w:rFonts w:ascii="宋体" w:hAnsi="宋体" w:eastAsia="宋体" w:cs="Times New Roman"/>
                <w:bCs/>
                <w:szCs w:val="21"/>
              </w:rPr>
              <w:t>程序编写与调试运行环境</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实验2：</w:t>
            </w:r>
            <w:r>
              <w:rPr>
                <w:rFonts w:ascii="宋体" w:hAnsi="宋体" w:eastAsia="宋体" w:cs="Times New Roman"/>
                <w:bCs/>
                <w:szCs w:val="21"/>
              </w:rPr>
              <w:t>分支程序设计方法</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实验3：</w:t>
            </w:r>
            <w:r>
              <w:rPr>
                <w:rFonts w:ascii="宋体" w:hAnsi="宋体" w:eastAsia="宋体" w:cs="Times New Roman"/>
                <w:bCs/>
                <w:szCs w:val="21"/>
              </w:rPr>
              <w:t>软件延时与定时器的应用</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实验4：</w:t>
            </w:r>
            <w:r>
              <w:rPr>
                <w:rFonts w:ascii="宋体" w:hAnsi="宋体" w:eastAsia="宋体" w:cs="Times New Roman"/>
                <w:szCs w:val="21"/>
              </w:rPr>
              <w:t>独立按键扩展与识别</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实验5：</w:t>
            </w:r>
            <w:r>
              <w:rPr>
                <w:rFonts w:ascii="宋体" w:hAnsi="宋体" w:eastAsia="宋体" w:cs="Times New Roman"/>
                <w:szCs w:val="21"/>
              </w:rPr>
              <w:t>数码管显示器与</w:t>
            </w:r>
            <w:r>
              <w:rPr>
                <w:rFonts w:hint="eastAsia" w:ascii="宋体" w:hAnsi="宋体" w:eastAsia="宋体" w:cs="Times New Roman"/>
                <w:szCs w:val="21"/>
              </w:rPr>
              <w:t>键盘</w:t>
            </w:r>
            <w:r>
              <w:rPr>
                <w:rFonts w:ascii="宋体" w:hAnsi="宋体" w:eastAsia="宋体" w:cs="Times New Roman"/>
                <w:szCs w:val="21"/>
              </w:rPr>
              <w:t>接口</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0" w:type="auto"/>
            <w:vAlign w:val="center"/>
          </w:tcPr>
          <w:p>
            <w:pPr>
              <w:spacing w:line="276" w:lineRule="auto"/>
              <w:jc w:val="center"/>
              <w:rPr>
                <w:rFonts w:asciiTheme="minorEastAsia" w:hAnsiTheme="minorEastAsia" w:cstheme="minorEastAsia"/>
                <w:szCs w:val="21"/>
              </w:rPr>
            </w:pPr>
            <w:r>
              <w:rPr>
                <w:rFonts w:ascii="宋体" w:hAnsi="宋体" w:eastAsia="宋体" w:cs="Times New Roman"/>
                <w:kern w:val="0"/>
                <w:szCs w:val="21"/>
              </w:rPr>
              <w:t>54</w:t>
            </w: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ascii="宋体" w:hAnsi="宋体" w:eastAsia="宋体" w:cs="Times New Roman"/>
                <w:szCs w:val="21"/>
              </w:rPr>
              <w:t>10</w:t>
            </w: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64</w:t>
            </w:r>
          </w:p>
        </w:tc>
      </w:tr>
    </w:tbl>
    <w:p>
      <w:pPr>
        <w:pStyle w:val="9"/>
        <w:snapToGrid w:val="0"/>
        <w:spacing w:line="420" w:lineRule="exact"/>
        <w:rPr>
          <w:rFonts w:ascii="宋体" w:hAnsi="宋体" w:eastAsia="宋体" w:cs="Times New Roman"/>
          <w:color w:val="auto"/>
          <w:sz w:val="21"/>
        </w:rPr>
      </w:pPr>
      <w:r>
        <w:rPr>
          <w:rFonts w:ascii="宋体" w:hAnsi="宋体" w:eastAsia="宋体" w:cs="Times New Roman"/>
          <w:b/>
          <w:bCs/>
          <w:color w:val="auto"/>
          <w:sz w:val="28"/>
          <w:szCs w:val="28"/>
        </w:rPr>
        <w:t>七、课程考核及成绩评定方法</w:t>
      </w:r>
    </w:p>
    <w:p>
      <w:pPr>
        <w:autoSpaceDE w:val="0"/>
        <w:autoSpaceDN w:val="0"/>
        <w:adjustRightInd w:val="0"/>
        <w:snapToGrid w:val="0"/>
        <w:spacing w:line="420" w:lineRule="exact"/>
        <w:ind w:firstLine="480" w:firstLineChars="200"/>
        <w:rPr>
          <w:rFonts w:ascii="宋体" w:hAnsi="宋体" w:eastAsia="宋体" w:cs="Times New Roman"/>
          <w:kern w:val="0"/>
          <w:sz w:val="24"/>
        </w:rPr>
      </w:pPr>
      <w:r>
        <w:rPr>
          <w:rFonts w:ascii="宋体" w:hAnsi="宋体" w:eastAsia="宋体" w:cs="Times New Roman"/>
          <w:kern w:val="0"/>
          <w:sz w:val="24"/>
        </w:rPr>
        <w:t>本门课程采用“N+1”过程考核的方式进行考核。</w:t>
      </w:r>
    </w:p>
    <w:p>
      <w:pPr>
        <w:autoSpaceDE w:val="0"/>
        <w:autoSpaceDN w:val="0"/>
        <w:adjustRightInd w:val="0"/>
        <w:snapToGrid w:val="0"/>
        <w:spacing w:line="420" w:lineRule="exact"/>
        <w:ind w:firstLine="480" w:firstLineChars="200"/>
        <w:rPr>
          <w:rFonts w:ascii="宋体" w:hAnsi="宋体" w:eastAsia="宋体" w:cs="Times New Roman"/>
          <w:kern w:val="0"/>
          <w:sz w:val="24"/>
        </w:rPr>
      </w:pPr>
      <w:r>
        <w:rPr>
          <w:rFonts w:ascii="宋体" w:hAnsi="宋体" w:eastAsia="宋体" w:cs="Times New Roman"/>
          <w:kern w:val="0"/>
          <w:sz w:val="24"/>
        </w:rPr>
        <w:t>考核方式：采用平时作业、阶段测验或者单元测验、实验报告、实验考核、和期末考试相结合的形式对学生课程成绩进行综合评定。课程目标达成评价与考核总成绩中，平时作业成绩占10%、阶段测验或者单元测验成绩占10%、实验考核成绩占</w:t>
      </w:r>
      <w:r>
        <w:rPr>
          <w:rFonts w:hint="eastAsia" w:ascii="宋体" w:hAnsi="宋体" w:eastAsia="宋体" w:cs="Times New Roman"/>
          <w:kern w:val="0"/>
          <w:sz w:val="24"/>
        </w:rPr>
        <w:t>30</w:t>
      </w:r>
      <w:r>
        <w:rPr>
          <w:rFonts w:ascii="宋体" w:hAnsi="宋体" w:eastAsia="宋体" w:cs="Times New Roman"/>
          <w:kern w:val="0"/>
          <w:sz w:val="24"/>
        </w:rPr>
        <w:t>%、期末考试成绩占50%</w:t>
      </w:r>
      <w:r>
        <w:rPr>
          <w:rFonts w:hint="eastAsia" w:ascii="宋体" w:hAnsi="宋体" w:eastAsia="宋体" w:cs="Times New Roman"/>
          <w:kern w:val="0"/>
          <w:sz w:val="24"/>
        </w:rPr>
        <w:t>，实验考核不合格者取消参加期末考试的资格</w:t>
      </w:r>
      <w:r>
        <w:rPr>
          <w:rFonts w:ascii="宋体" w:hAnsi="宋体" w:eastAsia="宋体" w:cs="Times New Roman"/>
          <w:kern w:val="0"/>
          <w:sz w:val="24"/>
        </w:rPr>
        <w:t>。</w:t>
      </w:r>
    </w:p>
    <w:tbl>
      <w:tblPr>
        <w:tblStyle w:val="6"/>
        <w:tblpPr w:leftFromText="180" w:rightFromText="180" w:vertAnchor="text" w:horzAnchor="margin" w:tblpXSpec="center" w:tblpY="434"/>
        <w:tblW w:w="4823" w:type="pct"/>
        <w:tblInd w:w="0" w:type="dxa"/>
        <w:tblLayout w:type="autofit"/>
        <w:tblCellMar>
          <w:top w:w="0" w:type="dxa"/>
          <w:left w:w="57" w:type="dxa"/>
          <w:bottom w:w="0" w:type="dxa"/>
          <w:right w:w="57" w:type="dxa"/>
        </w:tblCellMar>
      </w:tblPr>
      <w:tblGrid>
        <w:gridCol w:w="664"/>
        <w:gridCol w:w="1364"/>
        <w:gridCol w:w="1331"/>
        <w:gridCol w:w="1331"/>
        <w:gridCol w:w="1331"/>
        <w:gridCol w:w="1336"/>
        <w:gridCol w:w="765"/>
      </w:tblGrid>
      <w:tr>
        <w:tblPrEx>
          <w:tblCellMar>
            <w:top w:w="0" w:type="dxa"/>
            <w:left w:w="57" w:type="dxa"/>
            <w:bottom w:w="0" w:type="dxa"/>
            <w:right w:w="57" w:type="dxa"/>
          </w:tblCellMar>
        </w:tblPrEx>
        <w:trPr>
          <w:trHeight w:val="27" w:hRule="atLeast"/>
        </w:trPr>
        <w:tc>
          <w:tcPr>
            <w:tcW w:w="409" w:type="pct"/>
            <w:vMerge w:val="restart"/>
            <w:tcBorders>
              <w:top w:val="single" w:color="auto" w:sz="4" w:space="0"/>
              <w:left w:val="single" w:color="auto" w:sz="4" w:space="0"/>
              <w:right w:val="single" w:color="auto" w:sz="4" w:space="0"/>
            </w:tcBorders>
            <w:vAlign w:val="center"/>
          </w:tcPr>
          <w:p>
            <w:pPr>
              <w:autoSpaceDE w:val="0"/>
              <w:adjustRightInd w:val="0"/>
              <w:snapToGrid w:val="0"/>
              <w:spacing w:before="31" w:beforeLines="10" w:after="31" w:afterLines="10"/>
              <w:ind w:right="105" w:rightChars="50"/>
              <w:jc w:val="center"/>
              <w:rPr>
                <w:rFonts w:ascii="宋体" w:hAnsi="宋体" w:eastAsia="宋体" w:cs="Times New Roman"/>
                <w:b/>
                <w:bCs/>
                <w:szCs w:val="21"/>
              </w:rPr>
            </w:pPr>
            <w:r>
              <w:rPr>
                <w:rFonts w:ascii="宋体" w:hAnsi="宋体" w:eastAsia="宋体" w:cs="Times New Roman"/>
                <w:b/>
                <w:bCs/>
                <w:szCs w:val="21"/>
              </w:rPr>
              <w:t>序号</w:t>
            </w:r>
          </w:p>
        </w:tc>
        <w:tc>
          <w:tcPr>
            <w:tcW w:w="839" w:type="pct"/>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31" w:beforeLines="10" w:after="31" w:afterLines="10"/>
              <w:ind w:right="105" w:rightChars="50" w:firstLine="211" w:firstLineChars="100"/>
              <w:jc w:val="center"/>
              <w:rPr>
                <w:rFonts w:ascii="宋体" w:hAnsi="宋体" w:eastAsia="宋体" w:cs="Times New Roman"/>
                <w:b/>
                <w:bCs/>
                <w:szCs w:val="21"/>
              </w:rPr>
            </w:pPr>
            <w:r>
              <w:rPr>
                <w:rFonts w:ascii="宋体" w:hAnsi="宋体" w:eastAsia="宋体" w:cs="Times New Roman"/>
                <w:b/>
                <w:bCs/>
                <w:szCs w:val="21"/>
              </w:rPr>
              <w:t>课程目标</w:t>
            </w:r>
          </w:p>
        </w:tc>
        <w:tc>
          <w:tcPr>
            <w:tcW w:w="3279" w:type="pct"/>
            <w:gridSpan w:val="4"/>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ind w:right="105" w:rightChars="50"/>
              <w:jc w:val="center"/>
              <w:rPr>
                <w:rFonts w:ascii="宋体" w:hAnsi="宋体" w:eastAsia="宋体" w:cs="Times New Roman"/>
                <w:b/>
                <w:bCs/>
                <w:szCs w:val="21"/>
              </w:rPr>
            </w:pPr>
            <w:r>
              <w:rPr>
                <w:rFonts w:ascii="宋体" w:hAnsi="宋体" w:eastAsia="宋体" w:cs="Times New Roman"/>
                <w:b/>
                <w:bCs/>
                <w:szCs w:val="21"/>
              </w:rPr>
              <w:t>考核环节</w:t>
            </w:r>
          </w:p>
        </w:tc>
        <w:tc>
          <w:tcPr>
            <w:tcW w:w="471" w:type="pct"/>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ind w:right="105" w:rightChars="50"/>
              <w:jc w:val="center"/>
              <w:rPr>
                <w:rFonts w:ascii="宋体" w:hAnsi="宋体" w:eastAsia="宋体" w:cs="Times New Roman"/>
                <w:b/>
                <w:bCs/>
                <w:szCs w:val="21"/>
              </w:rPr>
            </w:pPr>
            <w:r>
              <w:rPr>
                <w:rFonts w:ascii="宋体" w:hAnsi="宋体" w:eastAsia="宋体" w:cs="Times New Roman"/>
                <w:b/>
                <w:bCs/>
                <w:szCs w:val="21"/>
              </w:rPr>
              <w:t>合计</w:t>
            </w:r>
          </w:p>
        </w:tc>
      </w:tr>
      <w:tr>
        <w:tblPrEx>
          <w:tblCellMar>
            <w:top w:w="0" w:type="dxa"/>
            <w:left w:w="57" w:type="dxa"/>
            <w:bottom w:w="0" w:type="dxa"/>
            <w:right w:w="57" w:type="dxa"/>
          </w:tblCellMar>
        </w:tblPrEx>
        <w:trPr>
          <w:trHeight w:val="27" w:hRule="atLeast"/>
        </w:trPr>
        <w:tc>
          <w:tcPr>
            <w:tcW w:w="409" w:type="pct"/>
            <w:vMerge w:val="continue"/>
            <w:tcBorders>
              <w:left w:val="single" w:color="auto" w:sz="4" w:space="0"/>
              <w:bottom w:val="single" w:color="auto" w:sz="4" w:space="0"/>
              <w:right w:val="single" w:color="auto" w:sz="4" w:space="0"/>
            </w:tcBorders>
          </w:tcPr>
          <w:p>
            <w:pPr>
              <w:widowControl/>
              <w:adjustRightInd w:val="0"/>
              <w:snapToGrid w:val="0"/>
              <w:jc w:val="left"/>
              <w:rPr>
                <w:rFonts w:ascii="宋体" w:hAnsi="宋体" w:eastAsia="宋体" w:cs="Times New Roman"/>
                <w:b/>
                <w:bCs/>
                <w:szCs w:val="21"/>
              </w:rPr>
            </w:pPr>
          </w:p>
        </w:tc>
        <w:tc>
          <w:tcPr>
            <w:tcW w:w="83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平时作业</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单元测验</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实验考核</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期末考试</w:t>
            </w:r>
          </w:p>
        </w:tc>
        <w:tc>
          <w:tcPr>
            <w:tcW w:w="471" w:type="pct"/>
            <w:vMerge w:val="continue"/>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r>
      <w:tr>
        <w:tblPrEx>
          <w:tblCellMar>
            <w:top w:w="0" w:type="dxa"/>
            <w:left w:w="57" w:type="dxa"/>
            <w:bottom w:w="0" w:type="dxa"/>
            <w:right w:w="57" w:type="dxa"/>
          </w:tblCellMar>
        </w:tblPrEx>
        <w:trPr>
          <w:trHeight w:val="27" w:hRule="atLeast"/>
        </w:trPr>
        <w:tc>
          <w:tcPr>
            <w:tcW w:w="409" w:type="pct"/>
            <w:tcBorders>
              <w:top w:val="single" w:color="auto" w:sz="4" w:space="0"/>
              <w:left w:val="single" w:color="auto" w:sz="4" w:space="0"/>
              <w:bottom w:val="single" w:color="auto" w:sz="4" w:space="0"/>
              <w:right w:val="single" w:color="auto" w:sz="4" w:space="0"/>
            </w:tcBorders>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1</w:t>
            </w:r>
          </w:p>
        </w:tc>
        <w:tc>
          <w:tcPr>
            <w:tcW w:w="839" w:type="pc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课程目标1</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7%</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5%</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8</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30%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60%</w:t>
            </w:r>
          </w:p>
        </w:tc>
      </w:tr>
      <w:tr>
        <w:tblPrEx>
          <w:tblCellMar>
            <w:top w:w="0" w:type="dxa"/>
            <w:left w:w="57" w:type="dxa"/>
            <w:bottom w:w="0" w:type="dxa"/>
            <w:right w:w="57" w:type="dxa"/>
          </w:tblCellMar>
        </w:tblPrEx>
        <w:trPr>
          <w:trHeight w:val="27" w:hRule="atLeast"/>
        </w:trPr>
        <w:tc>
          <w:tcPr>
            <w:tcW w:w="409" w:type="pct"/>
            <w:tcBorders>
              <w:top w:val="single" w:color="auto" w:sz="4" w:space="0"/>
              <w:left w:val="single" w:color="auto" w:sz="4" w:space="0"/>
              <w:bottom w:val="single" w:color="auto" w:sz="4" w:space="0"/>
              <w:right w:val="single" w:color="auto" w:sz="4" w:space="0"/>
            </w:tcBorders>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2</w:t>
            </w:r>
          </w:p>
        </w:tc>
        <w:tc>
          <w:tcPr>
            <w:tcW w:w="839" w:type="pc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课程目标2</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3%</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5%</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2</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20%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40%</w:t>
            </w:r>
          </w:p>
        </w:tc>
      </w:tr>
      <w:tr>
        <w:tblPrEx>
          <w:tblCellMar>
            <w:top w:w="0" w:type="dxa"/>
            <w:left w:w="57" w:type="dxa"/>
            <w:bottom w:w="0" w:type="dxa"/>
            <w:right w:w="57" w:type="dxa"/>
          </w:tblCellMar>
        </w:tblPrEx>
        <w:trPr>
          <w:trHeight w:val="27" w:hRule="atLeast"/>
        </w:trPr>
        <w:tc>
          <w:tcPr>
            <w:tcW w:w="1249" w:type="pct"/>
            <w:gridSpan w:val="2"/>
            <w:tcBorders>
              <w:top w:val="single" w:color="auto" w:sz="4" w:space="0"/>
              <w:left w:val="single" w:color="auto" w:sz="4" w:space="0"/>
              <w:bottom w:val="single" w:color="auto" w:sz="4" w:space="0"/>
              <w:right w:val="single" w:color="auto" w:sz="4" w:space="0"/>
            </w:tcBorders>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合计</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10%</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10%</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hint="eastAsia" w:ascii="宋体" w:hAnsi="宋体" w:eastAsia="宋体" w:cs="Times New Roman"/>
                <w:szCs w:val="21"/>
              </w:rPr>
              <w:t>30</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50%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jc w:val="center"/>
              <w:rPr>
                <w:rFonts w:ascii="宋体" w:hAnsi="宋体" w:eastAsia="宋体" w:cs="Times New Roman"/>
                <w:szCs w:val="21"/>
              </w:rPr>
            </w:pPr>
            <w:r>
              <w:rPr>
                <w:rFonts w:ascii="宋体" w:hAnsi="宋体" w:eastAsia="宋体" w:cs="Times New Roman"/>
                <w:szCs w:val="21"/>
              </w:rPr>
              <w:t>100%</w:t>
            </w:r>
          </w:p>
        </w:tc>
      </w:tr>
    </w:tbl>
    <w:p>
      <w:pPr>
        <w:pStyle w:val="9"/>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课程目标与课程考核环节关系：</w:t>
      </w:r>
    </w:p>
    <w:p>
      <w:pPr>
        <w:autoSpaceDE w:val="0"/>
        <w:autoSpaceDN w:val="0"/>
        <w:adjustRightInd w:val="0"/>
        <w:snapToGrid w:val="0"/>
        <w:spacing w:line="420" w:lineRule="exact"/>
        <w:ind w:firstLine="480" w:firstLineChars="200"/>
        <w:rPr>
          <w:rFonts w:ascii="宋体" w:hAnsi="宋体" w:eastAsia="宋体" w:cs="Times New Roman"/>
          <w:sz w:val="24"/>
        </w:rPr>
      </w:pPr>
      <w:r>
        <w:rPr>
          <w:rFonts w:ascii="宋体" w:hAnsi="宋体" w:eastAsia="宋体" w:cs="Times New Roman"/>
          <w:sz w:val="24"/>
        </w:rPr>
        <w:t>平时作业、</w:t>
      </w:r>
      <w:r>
        <w:rPr>
          <w:rFonts w:hint="eastAsia" w:ascii="宋体" w:hAnsi="宋体" w:eastAsia="宋体" w:cs="Times New Roman"/>
          <w:sz w:val="24"/>
        </w:rPr>
        <w:t>实验考核</w:t>
      </w:r>
      <w:r>
        <w:rPr>
          <w:rFonts w:ascii="宋体" w:hAnsi="宋体" w:eastAsia="宋体" w:cs="Times New Roman"/>
          <w:sz w:val="24"/>
        </w:rPr>
        <w:t>按照附件中的评分标准进行成绩评定。期末考试参见参考答案与评分标准。</w:t>
      </w:r>
    </w:p>
    <w:p>
      <w:pPr>
        <w:autoSpaceDE w:val="0"/>
        <w:autoSpaceDN w:val="0"/>
        <w:adjustRightInd w:val="0"/>
        <w:snapToGrid w:val="0"/>
        <w:spacing w:line="420" w:lineRule="exact"/>
        <w:jc w:val="left"/>
        <w:rPr>
          <w:rFonts w:ascii="宋体" w:hAnsi="宋体" w:eastAsia="宋体" w:cs="Times New Roman"/>
          <w:kern w:val="0"/>
          <w:sz w:val="24"/>
        </w:rPr>
      </w:pPr>
      <w:r>
        <w:rPr>
          <w:rFonts w:ascii="宋体" w:hAnsi="宋体" w:eastAsia="宋体" w:cs="Times New Roman"/>
          <w:b/>
          <w:bCs/>
          <w:sz w:val="28"/>
          <w:szCs w:val="28"/>
        </w:rPr>
        <w:t>八、课程参考书目及资源</w:t>
      </w:r>
    </w:p>
    <w:p>
      <w:pPr>
        <w:pStyle w:val="2"/>
        <w:adjustRightInd w:val="0"/>
        <w:snapToGrid w:val="0"/>
        <w:spacing w:line="420" w:lineRule="exact"/>
        <w:ind w:firstLineChars="175"/>
        <w:jc w:val="both"/>
        <w:rPr>
          <w:rFonts w:ascii="宋体" w:hAnsi="宋体"/>
          <w:sz w:val="24"/>
        </w:rPr>
      </w:pPr>
      <w:r>
        <w:rPr>
          <w:rFonts w:ascii="宋体" w:hAnsi="宋体"/>
          <w:sz w:val="24"/>
        </w:rPr>
        <w:t>1.张毅刚等. 单片机原理及应用—C51编程+Proteus仿真（第二版）.北京：高等教育出版社，2016.</w:t>
      </w:r>
    </w:p>
    <w:p>
      <w:pPr>
        <w:pStyle w:val="2"/>
        <w:adjustRightInd w:val="0"/>
        <w:snapToGrid w:val="0"/>
        <w:spacing w:line="420" w:lineRule="exact"/>
        <w:ind w:firstLineChars="175"/>
        <w:jc w:val="both"/>
        <w:rPr>
          <w:rFonts w:ascii="宋体" w:hAnsi="宋体"/>
          <w:sz w:val="24"/>
        </w:rPr>
      </w:pPr>
      <w:r>
        <w:rPr>
          <w:rFonts w:ascii="宋体" w:hAnsi="宋体"/>
          <w:sz w:val="24"/>
        </w:rPr>
        <w:t>2.李群芳等. 单片微型计算机与接口技术（第五版）. 北京：电子工业出版社，2015.</w:t>
      </w:r>
    </w:p>
    <w:p>
      <w:pPr>
        <w:pStyle w:val="2"/>
        <w:adjustRightInd w:val="0"/>
        <w:snapToGrid w:val="0"/>
        <w:spacing w:line="420" w:lineRule="exact"/>
        <w:ind w:firstLineChars="175"/>
        <w:jc w:val="both"/>
        <w:rPr>
          <w:rFonts w:ascii="宋体" w:hAnsi="宋体"/>
          <w:sz w:val="24"/>
        </w:rPr>
      </w:pPr>
      <w:r>
        <w:rPr>
          <w:rFonts w:ascii="宋体" w:hAnsi="宋体"/>
          <w:sz w:val="24"/>
        </w:rPr>
        <w:t>3.张志良. 80c51单片机实用教程—基于Keil C 和Proteus. 北京：高等教育出版社，2016.</w:t>
      </w:r>
    </w:p>
    <w:p>
      <w:pPr>
        <w:pStyle w:val="2"/>
        <w:adjustRightInd w:val="0"/>
        <w:snapToGrid w:val="0"/>
        <w:spacing w:line="420" w:lineRule="exact"/>
        <w:ind w:firstLineChars="175"/>
        <w:jc w:val="both"/>
        <w:rPr>
          <w:rFonts w:ascii="宋体" w:hAnsi="宋体"/>
          <w:sz w:val="24"/>
        </w:rPr>
      </w:pPr>
      <w:r>
        <w:rPr>
          <w:rFonts w:ascii="宋体" w:hAnsi="宋体"/>
          <w:sz w:val="24"/>
        </w:rPr>
        <w:t>4.冯博琴等. 微型计算机硬件技术基础（第2版）. 北京：高等教育出版社，2010.</w:t>
      </w:r>
    </w:p>
    <w:p>
      <w:pPr>
        <w:pStyle w:val="2"/>
        <w:adjustRightInd w:val="0"/>
        <w:snapToGrid w:val="0"/>
        <w:spacing w:line="420" w:lineRule="exact"/>
        <w:ind w:firstLineChars="175"/>
        <w:jc w:val="both"/>
        <w:rPr>
          <w:rFonts w:ascii="宋体" w:hAnsi="宋体"/>
          <w:sz w:val="24"/>
        </w:rPr>
      </w:pPr>
      <w:r>
        <w:rPr>
          <w:rFonts w:ascii="宋体" w:hAnsi="宋体"/>
          <w:sz w:val="24"/>
        </w:rPr>
        <w:t>5.邹逢兴等. 计算机硬件技术及应用基础上册——微机原理部分. 北京：中国水利水电出版社，2010.</w:t>
      </w:r>
    </w:p>
    <w:p>
      <w:pPr>
        <w:pStyle w:val="2"/>
        <w:adjustRightInd w:val="0"/>
        <w:snapToGrid w:val="0"/>
        <w:spacing w:line="420" w:lineRule="exact"/>
        <w:ind w:firstLineChars="175"/>
        <w:jc w:val="both"/>
        <w:rPr>
          <w:rFonts w:ascii="宋体" w:hAnsi="宋体"/>
          <w:sz w:val="24"/>
        </w:rPr>
      </w:pPr>
      <w:r>
        <w:rPr>
          <w:rFonts w:ascii="宋体" w:hAnsi="宋体"/>
          <w:sz w:val="24"/>
        </w:rPr>
        <w:t>6.邹逢兴等. 计算机硬件技术及应用基础下册——微机接口部分. 北京：中国水利水电出版社，2010.</w:t>
      </w:r>
    </w:p>
    <w:p>
      <w:pPr>
        <w:pStyle w:val="2"/>
        <w:adjustRightInd w:val="0"/>
        <w:snapToGrid w:val="0"/>
        <w:spacing w:line="420" w:lineRule="exact"/>
        <w:ind w:firstLineChars="175"/>
        <w:jc w:val="both"/>
        <w:rPr>
          <w:rFonts w:ascii="宋体" w:hAnsi="宋体"/>
          <w:sz w:val="24"/>
        </w:rPr>
      </w:pPr>
      <w:r>
        <w:rPr>
          <w:rFonts w:ascii="宋体" w:hAnsi="宋体"/>
          <w:sz w:val="24"/>
        </w:rPr>
        <w:t>7.AT89S51 Datasheet. ATMEL Corporation. 2001.</w:t>
      </w:r>
    </w:p>
    <w:p>
      <w:pPr>
        <w:widowControl/>
        <w:adjustRightInd w:val="0"/>
        <w:snapToGrid w:val="0"/>
        <w:spacing w:line="420" w:lineRule="exact"/>
        <w:ind w:firstLine="420" w:firstLineChars="175"/>
        <w:rPr>
          <w:rFonts w:ascii="宋体" w:hAnsi="宋体" w:eastAsia="宋体" w:cs="Times New Roman"/>
          <w:sz w:val="24"/>
          <w:szCs w:val="24"/>
        </w:rPr>
      </w:pPr>
      <w:r>
        <w:rPr>
          <w:rFonts w:ascii="宋体" w:hAnsi="宋体" w:eastAsia="宋体" w:cs="Times New Roman"/>
          <w:kern w:val="0"/>
          <w:sz w:val="24"/>
          <w:szCs w:val="24"/>
        </w:rPr>
        <w:t>8.</w:t>
      </w:r>
      <w:r>
        <w:rPr>
          <w:rFonts w:ascii="宋体" w:hAnsi="宋体" w:eastAsia="宋体" w:cs="Times New Roman"/>
          <w:sz w:val="24"/>
          <w:szCs w:val="24"/>
        </w:rPr>
        <w:t xml:space="preserve">中国大学MOOC资源共享课，单片机原理与应用，江苏理工学院. </w:t>
      </w:r>
    </w:p>
    <w:p>
      <w:pPr>
        <w:autoSpaceDE w:val="0"/>
        <w:autoSpaceDN w:val="0"/>
        <w:adjustRightInd w:val="0"/>
        <w:snapToGrid w:val="0"/>
        <w:spacing w:line="420" w:lineRule="exact"/>
        <w:ind w:left="420" w:leftChars="200"/>
        <w:rPr>
          <w:rStyle w:val="8"/>
          <w:rFonts w:ascii="宋体" w:hAnsi="宋体" w:eastAsia="宋体" w:cs="Times New Roman"/>
          <w:color w:val="auto"/>
          <w:sz w:val="24"/>
          <w:szCs w:val="24"/>
        </w:rPr>
      </w:pPr>
      <w:r>
        <w:fldChar w:fldCharType="begin"/>
      </w:r>
      <w:r>
        <w:instrText xml:space="preserve"> HYPERLINK "https://www.icourse163.org/course/JSUT-1001755124" </w:instrText>
      </w:r>
      <w:r>
        <w:fldChar w:fldCharType="separate"/>
      </w:r>
      <w:r>
        <w:rPr>
          <w:rStyle w:val="8"/>
          <w:rFonts w:ascii="宋体" w:hAnsi="宋体" w:eastAsia="宋体" w:cs="Times New Roman"/>
          <w:color w:val="auto"/>
          <w:sz w:val="24"/>
          <w:szCs w:val="24"/>
        </w:rPr>
        <w:t>https://www.icourse163.org/course/JSUT-1001755124</w:t>
      </w:r>
      <w:r>
        <w:rPr>
          <w:rStyle w:val="8"/>
          <w:rFonts w:ascii="宋体" w:hAnsi="宋体" w:eastAsia="宋体" w:cs="Times New Roman"/>
          <w:color w:val="auto"/>
          <w:sz w:val="24"/>
          <w:szCs w:val="24"/>
        </w:rPr>
        <w:fldChar w:fldCharType="end"/>
      </w:r>
    </w:p>
    <w:p>
      <w:pPr>
        <w:widowControl/>
        <w:jc w:val="left"/>
        <w:rPr>
          <w:rFonts w:ascii="宋体" w:hAnsi="宋体" w:eastAsia="宋体" w:cs="Times New Roman"/>
          <w:b/>
          <w:bCs/>
          <w:sz w:val="28"/>
          <w:szCs w:val="28"/>
        </w:rPr>
      </w:pPr>
      <w:r>
        <w:rPr>
          <w:rFonts w:ascii="宋体" w:hAnsi="宋体" w:eastAsia="宋体" w:cs="Times New Roman"/>
          <w:b/>
          <w:bCs/>
          <w:sz w:val="28"/>
          <w:szCs w:val="28"/>
        </w:rPr>
        <w:br w:type="page"/>
      </w:r>
    </w:p>
    <w:p>
      <w:pPr>
        <w:autoSpaceDE w:val="0"/>
        <w:autoSpaceDN w:val="0"/>
        <w:adjustRightInd w:val="0"/>
        <w:snapToGrid w:val="0"/>
        <w:spacing w:before="156" w:beforeLines="50" w:after="156" w:afterLines="50" w:line="420" w:lineRule="exact"/>
        <w:jc w:val="left"/>
        <w:rPr>
          <w:rFonts w:ascii="宋体" w:hAnsi="宋体" w:eastAsia="宋体" w:cs="Times New Roman"/>
          <w:b/>
          <w:bCs/>
          <w:sz w:val="28"/>
          <w:szCs w:val="28"/>
        </w:rPr>
      </w:pPr>
      <w:r>
        <w:rPr>
          <w:rFonts w:ascii="宋体" w:hAnsi="宋体" w:eastAsia="宋体" w:cs="Times New Roman"/>
          <w:b/>
          <w:bCs/>
          <w:sz w:val="28"/>
          <w:szCs w:val="28"/>
        </w:rPr>
        <w:t>附件：评分标准</w:t>
      </w:r>
    </w:p>
    <w:p>
      <w:pPr>
        <w:spacing w:line="300" w:lineRule="auto"/>
        <w:jc w:val="left"/>
        <w:rPr>
          <w:rFonts w:ascii="宋体" w:hAnsi="宋体" w:eastAsia="宋体" w:cs="Times New Roman"/>
          <w:b/>
          <w:bCs/>
          <w:sz w:val="24"/>
        </w:rPr>
      </w:pPr>
      <w:r>
        <w:rPr>
          <w:rFonts w:ascii="宋体" w:hAnsi="宋体" w:eastAsia="宋体" w:cs="Times New Roman"/>
          <w:b/>
          <w:bCs/>
          <w:sz w:val="24"/>
        </w:rPr>
        <w:t>一、考核环节评分标准</w:t>
      </w:r>
    </w:p>
    <w:tbl>
      <w:tblPr>
        <w:tblStyle w:val="6"/>
        <w:tblW w:w="8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1420"/>
        <w:gridCol w:w="1420"/>
        <w:gridCol w:w="1548"/>
        <w:gridCol w:w="1414"/>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400" w:type="dxa"/>
            <w:tcMar>
              <w:top w:w="28" w:type="dxa"/>
              <w:left w:w="57" w:type="dxa"/>
              <w:bottom w:w="28" w:type="dxa"/>
              <w:right w:w="57" w:type="dxa"/>
            </w:tcMar>
            <w:vAlign w:val="center"/>
          </w:tcPr>
          <w:p>
            <w:pPr>
              <w:pStyle w:val="13"/>
              <w:adjustRightInd w:val="0"/>
              <w:snapToGrid w:val="0"/>
              <w:rPr>
                <w:kern w:val="2"/>
                <w:sz w:val="21"/>
                <w:szCs w:val="21"/>
              </w:rPr>
            </w:pPr>
            <w:r>
              <w:rPr>
                <w:kern w:val="2"/>
                <w:sz w:val="21"/>
                <w:szCs w:val="21"/>
              </w:rPr>
              <w:t>考核环节</w:t>
            </w:r>
          </w:p>
        </w:tc>
        <w:tc>
          <w:tcPr>
            <w:tcW w:w="1577"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优（90～100）</w:t>
            </w:r>
          </w:p>
        </w:tc>
        <w:tc>
          <w:tcPr>
            <w:tcW w:w="1577"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良（80～89）</w:t>
            </w:r>
          </w:p>
        </w:tc>
        <w:tc>
          <w:tcPr>
            <w:tcW w:w="1720"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中等（70～79）</w:t>
            </w:r>
          </w:p>
        </w:tc>
        <w:tc>
          <w:tcPr>
            <w:tcW w:w="1570"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及格（60～69）</w:t>
            </w:r>
          </w:p>
        </w:tc>
        <w:tc>
          <w:tcPr>
            <w:tcW w:w="1408"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400" w:type="dxa"/>
            <w:vMerge w:val="restart"/>
            <w:tcMar>
              <w:top w:w="28" w:type="dxa"/>
              <w:left w:w="57" w:type="dxa"/>
              <w:bottom w:w="28" w:type="dxa"/>
              <w:right w:w="57" w:type="dxa"/>
            </w:tcMar>
            <w:vAlign w:val="center"/>
          </w:tcPr>
          <w:p>
            <w:pPr>
              <w:pStyle w:val="14"/>
              <w:adjustRightInd w:val="0"/>
              <w:snapToGrid w:val="0"/>
              <w:spacing w:line="240" w:lineRule="auto"/>
              <w:jc w:val="center"/>
              <w:rPr>
                <w:bCs/>
              </w:rPr>
            </w:pPr>
            <w:r>
              <w:rPr>
                <w:bCs/>
              </w:rPr>
              <w:t>平时作业</w:t>
            </w:r>
          </w:p>
        </w:tc>
        <w:tc>
          <w:tcPr>
            <w:tcW w:w="1577" w:type="dxa"/>
            <w:tcMar>
              <w:top w:w="28" w:type="dxa"/>
              <w:left w:w="57" w:type="dxa"/>
              <w:bottom w:w="28" w:type="dxa"/>
              <w:right w:w="57" w:type="dxa"/>
            </w:tcMar>
          </w:tcPr>
          <w:p>
            <w:pPr>
              <w:pStyle w:val="14"/>
              <w:adjustRightInd w:val="0"/>
              <w:snapToGrid w:val="0"/>
              <w:spacing w:line="240" w:lineRule="auto"/>
              <w:jc w:val="both"/>
            </w:pPr>
            <w:r>
              <w:t>概念清晰，分析得当。</w:t>
            </w:r>
          </w:p>
        </w:tc>
        <w:tc>
          <w:tcPr>
            <w:tcW w:w="1577" w:type="dxa"/>
            <w:tcMar>
              <w:top w:w="28" w:type="dxa"/>
              <w:left w:w="57" w:type="dxa"/>
              <w:bottom w:w="28" w:type="dxa"/>
              <w:right w:w="57" w:type="dxa"/>
            </w:tcMar>
          </w:tcPr>
          <w:p>
            <w:pPr>
              <w:pStyle w:val="14"/>
              <w:adjustRightInd w:val="0"/>
              <w:snapToGrid w:val="0"/>
              <w:spacing w:line="240" w:lineRule="auto"/>
              <w:jc w:val="both"/>
            </w:pPr>
            <w:r>
              <w:t>主要概念清晰，但部分分析有误。</w:t>
            </w:r>
          </w:p>
        </w:tc>
        <w:tc>
          <w:tcPr>
            <w:tcW w:w="1720" w:type="dxa"/>
            <w:tcMar>
              <w:top w:w="28" w:type="dxa"/>
              <w:left w:w="57" w:type="dxa"/>
              <w:bottom w:w="28" w:type="dxa"/>
              <w:right w:w="57" w:type="dxa"/>
            </w:tcMar>
          </w:tcPr>
          <w:p>
            <w:pPr>
              <w:pStyle w:val="14"/>
              <w:adjustRightInd w:val="0"/>
              <w:snapToGrid w:val="0"/>
              <w:spacing w:line="240" w:lineRule="auto"/>
              <w:jc w:val="both"/>
            </w:pPr>
            <w:r>
              <w:t>部分概念清晰，分析中有明显知识漏洞。</w:t>
            </w:r>
          </w:p>
        </w:tc>
        <w:tc>
          <w:tcPr>
            <w:tcW w:w="1570" w:type="dxa"/>
            <w:tcMar>
              <w:top w:w="28" w:type="dxa"/>
              <w:left w:w="57" w:type="dxa"/>
              <w:bottom w:w="28" w:type="dxa"/>
              <w:right w:w="57" w:type="dxa"/>
            </w:tcMar>
          </w:tcPr>
          <w:p>
            <w:pPr>
              <w:pStyle w:val="14"/>
              <w:adjustRightInd w:val="0"/>
              <w:snapToGrid w:val="0"/>
              <w:spacing w:line="240" w:lineRule="auto"/>
              <w:jc w:val="both"/>
            </w:pPr>
            <w:r>
              <w:t>基本概念不清晰。</w:t>
            </w:r>
          </w:p>
        </w:tc>
        <w:tc>
          <w:tcPr>
            <w:tcW w:w="1408" w:type="dxa"/>
            <w:tcMar>
              <w:top w:w="28" w:type="dxa"/>
              <w:left w:w="57" w:type="dxa"/>
              <w:bottom w:w="28" w:type="dxa"/>
              <w:right w:w="57" w:type="dxa"/>
            </w:tcMar>
          </w:tcPr>
          <w:p>
            <w:pPr>
              <w:pStyle w:val="14"/>
              <w:adjustRightInd w:val="0"/>
              <w:snapToGrid w:val="0"/>
              <w:spacing w:line="240" w:lineRule="auto"/>
              <w:jc w:val="both"/>
            </w:pPr>
            <w: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00" w:type="dxa"/>
            <w:vMerge w:val="continue"/>
            <w:tcMar>
              <w:top w:w="28" w:type="dxa"/>
              <w:left w:w="57" w:type="dxa"/>
              <w:bottom w:w="28" w:type="dxa"/>
              <w:right w:w="57" w:type="dxa"/>
            </w:tcMar>
            <w:vAlign w:val="center"/>
          </w:tcPr>
          <w:p>
            <w:pPr>
              <w:pStyle w:val="14"/>
              <w:adjustRightInd w:val="0"/>
              <w:snapToGrid w:val="0"/>
              <w:spacing w:line="240" w:lineRule="auto"/>
              <w:jc w:val="center"/>
              <w:rPr>
                <w:bCs/>
              </w:rPr>
            </w:pPr>
          </w:p>
        </w:tc>
        <w:tc>
          <w:tcPr>
            <w:tcW w:w="1577" w:type="dxa"/>
            <w:tcMar>
              <w:top w:w="28" w:type="dxa"/>
              <w:left w:w="57" w:type="dxa"/>
              <w:bottom w:w="28" w:type="dxa"/>
              <w:right w:w="57" w:type="dxa"/>
            </w:tcMar>
          </w:tcPr>
          <w:p>
            <w:pPr>
              <w:pStyle w:val="14"/>
              <w:adjustRightInd w:val="0"/>
              <w:snapToGrid w:val="0"/>
              <w:spacing w:line="240" w:lineRule="auto"/>
              <w:jc w:val="both"/>
            </w:pPr>
            <w:r>
              <w:t>方案能够解决问题，思路清晰，计算（编程）正确。</w:t>
            </w:r>
          </w:p>
        </w:tc>
        <w:tc>
          <w:tcPr>
            <w:tcW w:w="1577" w:type="dxa"/>
            <w:tcMar>
              <w:top w:w="28" w:type="dxa"/>
              <w:left w:w="57" w:type="dxa"/>
              <w:bottom w:w="28" w:type="dxa"/>
              <w:right w:w="57" w:type="dxa"/>
            </w:tcMar>
          </w:tcPr>
          <w:p>
            <w:pPr>
              <w:pStyle w:val="14"/>
              <w:adjustRightInd w:val="0"/>
              <w:snapToGrid w:val="0"/>
              <w:spacing w:line="240" w:lineRule="auto"/>
              <w:jc w:val="both"/>
            </w:pPr>
            <w:r>
              <w:t>方案主要思路、过程和计算（编程）过程正确。</w:t>
            </w:r>
          </w:p>
        </w:tc>
        <w:tc>
          <w:tcPr>
            <w:tcW w:w="1720" w:type="dxa"/>
            <w:tcMar>
              <w:top w:w="28" w:type="dxa"/>
              <w:left w:w="57" w:type="dxa"/>
              <w:bottom w:w="28" w:type="dxa"/>
              <w:right w:w="57" w:type="dxa"/>
            </w:tcMar>
          </w:tcPr>
          <w:p>
            <w:pPr>
              <w:pStyle w:val="14"/>
              <w:adjustRightInd w:val="0"/>
              <w:snapToGrid w:val="0"/>
              <w:spacing w:line="240" w:lineRule="auto"/>
              <w:jc w:val="both"/>
            </w:pPr>
            <w:r>
              <w:t>方案部分可行。</w:t>
            </w:r>
          </w:p>
        </w:tc>
        <w:tc>
          <w:tcPr>
            <w:tcW w:w="1570" w:type="dxa"/>
            <w:tcMar>
              <w:top w:w="28" w:type="dxa"/>
              <w:left w:w="57" w:type="dxa"/>
              <w:bottom w:w="28" w:type="dxa"/>
              <w:right w:w="57" w:type="dxa"/>
            </w:tcMar>
          </w:tcPr>
          <w:p>
            <w:pPr>
              <w:pStyle w:val="14"/>
              <w:adjustRightInd w:val="0"/>
              <w:snapToGrid w:val="0"/>
              <w:spacing w:line="240" w:lineRule="auto"/>
              <w:jc w:val="both"/>
            </w:pPr>
            <w:r>
              <w:t>尚能制定方案。</w:t>
            </w:r>
          </w:p>
        </w:tc>
        <w:tc>
          <w:tcPr>
            <w:tcW w:w="1408" w:type="dxa"/>
            <w:tcMar>
              <w:top w:w="28" w:type="dxa"/>
              <w:left w:w="57" w:type="dxa"/>
              <w:bottom w:w="28" w:type="dxa"/>
              <w:right w:w="57" w:type="dxa"/>
            </w:tcMar>
          </w:tcPr>
          <w:p>
            <w:pPr>
              <w:pStyle w:val="14"/>
              <w:adjustRightInd w:val="0"/>
              <w:snapToGrid w:val="0"/>
              <w:spacing w:line="240" w:lineRule="auto"/>
              <w:jc w:val="both"/>
            </w:pPr>
            <w:r>
              <w:t>不能制定方案。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00" w:type="dxa"/>
            <w:vMerge w:val="continue"/>
            <w:tcMar>
              <w:top w:w="28" w:type="dxa"/>
              <w:left w:w="57" w:type="dxa"/>
              <w:bottom w:w="28" w:type="dxa"/>
              <w:right w:w="57" w:type="dxa"/>
            </w:tcMar>
            <w:vAlign w:val="center"/>
          </w:tcPr>
          <w:p>
            <w:pPr>
              <w:pStyle w:val="14"/>
              <w:adjustRightInd w:val="0"/>
              <w:snapToGrid w:val="0"/>
              <w:spacing w:line="240" w:lineRule="auto"/>
              <w:jc w:val="center"/>
              <w:rPr>
                <w:bCs/>
              </w:rPr>
            </w:pPr>
          </w:p>
        </w:tc>
        <w:tc>
          <w:tcPr>
            <w:tcW w:w="1577" w:type="dxa"/>
            <w:tcMar>
              <w:top w:w="28" w:type="dxa"/>
              <w:left w:w="57" w:type="dxa"/>
              <w:bottom w:w="28" w:type="dxa"/>
              <w:right w:w="57" w:type="dxa"/>
            </w:tcMar>
          </w:tcPr>
          <w:p>
            <w:pPr>
              <w:pStyle w:val="14"/>
              <w:adjustRightInd w:val="0"/>
              <w:snapToGrid w:val="0"/>
              <w:spacing w:line="240" w:lineRule="auto"/>
              <w:jc w:val="both"/>
            </w:pPr>
            <w:r>
              <w:t>书写工整、清晰，符号、单位等按规范执行。</w:t>
            </w:r>
          </w:p>
        </w:tc>
        <w:tc>
          <w:tcPr>
            <w:tcW w:w="1577" w:type="dxa"/>
            <w:tcMar>
              <w:top w:w="28" w:type="dxa"/>
              <w:left w:w="57" w:type="dxa"/>
              <w:bottom w:w="28" w:type="dxa"/>
              <w:right w:w="57" w:type="dxa"/>
            </w:tcMar>
          </w:tcPr>
          <w:p>
            <w:pPr>
              <w:pStyle w:val="14"/>
              <w:adjustRightInd w:val="0"/>
              <w:snapToGrid w:val="0"/>
              <w:spacing w:line="240" w:lineRule="auto"/>
              <w:jc w:val="both"/>
            </w:pPr>
            <w:r>
              <w:t>书写清晰，主要符号、单位等按规范执行。</w:t>
            </w:r>
          </w:p>
        </w:tc>
        <w:tc>
          <w:tcPr>
            <w:tcW w:w="1720" w:type="dxa"/>
            <w:tcMar>
              <w:top w:w="28" w:type="dxa"/>
              <w:left w:w="57" w:type="dxa"/>
              <w:bottom w:w="28" w:type="dxa"/>
              <w:right w:w="57" w:type="dxa"/>
            </w:tcMar>
          </w:tcPr>
          <w:p>
            <w:pPr>
              <w:pStyle w:val="14"/>
              <w:adjustRightInd w:val="0"/>
              <w:snapToGrid w:val="0"/>
              <w:spacing w:line="240" w:lineRule="auto"/>
              <w:jc w:val="both"/>
            </w:pPr>
            <w:r>
              <w:t>能辨识，部分符号、单位等按规范执行。</w:t>
            </w:r>
          </w:p>
        </w:tc>
        <w:tc>
          <w:tcPr>
            <w:tcW w:w="1570" w:type="dxa"/>
            <w:tcMar>
              <w:top w:w="28" w:type="dxa"/>
              <w:left w:w="57" w:type="dxa"/>
              <w:bottom w:w="28" w:type="dxa"/>
              <w:right w:w="57" w:type="dxa"/>
            </w:tcMar>
          </w:tcPr>
          <w:p>
            <w:pPr>
              <w:pStyle w:val="14"/>
              <w:adjustRightInd w:val="0"/>
              <w:snapToGrid w:val="0"/>
              <w:spacing w:line="240" w:lineRule="auto"/>
              <w:jc w:val="both"/>
            </w:pPr>
            <w:r>
              <w:t>不能辨识，符号、单位等不按照规范。</w:t>
            </w:r>
          </w:p>
        </w:tc>
        <w:tc>
          <w:tcPr>
            <w:tcW w:w="1408" w:type="dxa"/>
            <w:tcMar>
              <w:top w:w="28" w:type="dxa"/>
              <w:left w:w="57" w:type="dxa"/>
              <w:bottom w:w="28" w:type="dxa"/>
              <w:right w:w="57" w:type="dxa"/>
            </w:tcMar>
          </w:tcPr>
          <w:p>
            <w:pPr>
              <w:pStyle w:val="14"/>
              <w:adjustRightInd w:val="0"/>
              <w:snapToGrid w:val="0"/>
              <w:spacing w:line="240" w:lineRule="auto"/>
              <w:jc w:val="both"/>
            </w:pPr>
            <w:r>
              <w:t>作业不完整或未交。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400" w:type="dxa"/>
            <w:tcMar>
              <w:top w:w="28" w:type="dxa"/>
              <w:left w:w="57" w:type="dxa"/>
              <w:bottom w:w="28" w:type="dxa"/>
              <w:right w:w="57" w:type="dxa"/>
            </w:tcMar>
            <w:vAlign w:val="center"/>
          </w:tcPr>
          <w:p>
            <w:pPr>
              <w:pStyle w:val="14"/>
              <w:adjustRightInd w:val="0"/>
              <w:snapToGrid w:val="0"/>
              <w:spacing w:line="240" w:lineRule="auto"/>
              <w:jc w:val="center"/>
            </w:pPr>
            <w:r>
              <w:rPr>
                <w:bCs/>
              </w:rPr>
              <w:t>实验报告</w:t>
            </w:r>
          </w:p>
        </w:tc>
        <w:tc>
          <w:tcPr>
            <w:tcW w:w="1577"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 xml:space="preserve">报告格式完整，条理清晰，图表规范；实验原理分析正确；实验步骤及实验方法描述得当；数据处理正确，并有详细的实验结果与分析。 </w:t>
            </w:r>
          </w:p>
          <w:p>
            <w:pPr>
              <w:adjustRightInd w:val="0"/>
              <w:snapToGrid w:val="0"/>
              <w:rPr>
                <w:rFonts w:ascii="宋体" w:hAnsi="宋体" w:eastAsia="宋体" w:cs="Times New Roman"/>
                <w:szCs w:val="21"/>
              </w:rPr>
            </w:pPr>
          </w:p>
        </w:tc>
        <w:tc>
          <w:tcPr>
            <w:tcW w:w="1577"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报告格式完整，条理比较清晰，图表比较规范；实验原理分析正确；实验步骤及实验方法描述得当；数据处理正确，并有比较详细的实验结果与分析。</w:t>
            </w:r>
          </w:p>
        </w:tc>
        <w:tc>
          <w:tcPr>
            <w:tcW w:w="1720"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报告格式比较完整，但条理性一般；图表比较规范；实验原理分析基本正确，实验步骤及实验方法描述比较得当，数据处理基本正确，并有一定的实验结果与分析。</w:t>
            </w:r>
          </w:p>
        </w:tc>
        <w:tc>
          <w:tcPr>
            <w:tcW w:w="1570"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报告格式基本完整，但没有条理性；图表规范性较差；实验原理基本正确，只有实验步骤及实验方法描述，缺乏对实验结果和数据的分析。</w:t>
            </w:r>
          </w:p>
          <w:p>
            <w:pPr>
              <w:adjustRightInd w:val="0"/>
              <w:snapToGrid w:val="0"/>
              <w:rPr>
                <w:rFonts w:ascii="宋体" w:hAnsi="宋体" w:eastAsia="宋体" w:cs="Times New Roman"/>
                <w:szCs w:val="21"/>
              </w:rPr>
            </w:pPr>
          </w:p>
        </w:tc>
        <w:tc>
          <w:tcPr>
            <w:tcW w:w="1408" w:type="dxa"/>
            <w:tcMar>
              <w:top w:w="28" w:type="dxa"/>
              <w:left w:w="57" w:type="dxa"/>
              <w:bottom w:w="28" w:type="dxa"/>
              <w:right w:w="57" w:type="dxa"/>
            </w:tcMar>
          </w:tcPr>
          <w:p>
            <w:pPr>
              <w:adjustRightInd w:val="0"/>
              <w:snapToGrid w:val="0"/>
              <w:rPr>
                <w:rFonts w:ascii="宋体" w:hAnsi="宋体" w:eastAsia="宋体" w:cs="Times New Roman"/>
                <w:szCs w:val="21"/>
              </w:rPr>
            </w:pPr>
            <w:r>
              <w:rPr>
                <w:rFonts w:ascii="宋体" w:hAnsi="宋体" w:eastAsia="宋体" w:cs="Times New Roman"/>
                <w:szCs w:val="21"/>
              </w:rPr>
              <w:t>报告格式不完整，调理混乱，错误较多；实验原理存在错误；缺乏对实验结果和数据的分析；或者存在较多内容雷同现象</w:t>
            </w:r>
          </w:p>
          <w:p>
            <w:pPr>
              <w:adjustRightInd w:val="0"/>
              <w:snapToGrid w:val="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00" w:type="dxa"/>
            <w:tcMar>
              <w:top w:w="28" w:type="dxa"/>
              <w:left w:w="57" w:type="dxa"/>
              <w:bottom w:w="28" w:type="dxa"/>
              <w:right w:w="57" w:type="dxa"/>
            </w:tcMar>
            <w:vAlign w:val="center"/>
          </w:tcPr>
          <w:p>
            <w:pPr>
              <w:pStyle w:val="14"/>
              <w:adjustRightInd w:val="0"/>
              <w:snapToGrid w:val="0"/>
              <w:spacing w:line="240" w:lineRule="auto"/>
              <w:jc w:val="center"/>
              <w:rPr>
                <w:bCs/>
              </w:rPr>
            </w:pPr>
            <w:r>
              <w:rPr>
                <w:bCs/>
              </w:rPr>
              <w:t>实验考核</w:t>
            </w:r>
          </w:p>
        </w:tc>
        <w:tc>
          <w:tcPr>
            <w:tcW w:w="7852" w:type="dxa"/>
            <w:gridSpan w:val="5"/>
            <w:tcMar>
              <w:top w:w="28" w:type="dxa"/>
              <w:left w:w="57" w:type="dxa"/>
              <w:bottom w:w="28" w:type="dxa"/>
              <w:right w:w="57" w:type="dxa"/>
            </w:tcMar>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按照实验考核评分标准执行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400" w:type="dxa"/>
            <w:tcMar>
              <w:top w:w="28" w:type="dxa"/>
              <w:left w:w="57" w:type="dxa"/>
              <w:bottom w:w="28" w:type="dxa"/>
              <w:right w:w="57" w:type="dxa"/>
            </w:tcMar>
            <w:vAlign w:val="center"/>
          </w:tcPr>
          <w:p>
            <w:pPr>
              <w:pStyle w:val="14"/>
              <w:adjustRightInd w:val="0"/>
              <w:snapToGrid w:val="0"/>
              <w:spacing w:line="240" w:lineRule="auto"/>
              <w:jc w:val="center"/>
              <w:rPr>
                <w:bCs/>
              </w:rPr>
            </w:pPr>
            <w:r>
              <w:rPr>
                <w:bCs/>
              </w:rPr>
              <w:t>期末考试</w:t>
            </w:r>
          </w:p>
        </w:tc>
        <w:tc>
          <w:tcPr>
            <w:tcW w:w="7852" w:type="dxa"/>
            <w:gridSpan w:val="5"/>
            <w:tcMar>
              <w:top w:w="28" w:type="dxa"/>
              <w:left w:w="57" w:type="dxa"/>
              <w:bottom w:w="28" w:type="dxa"/>
              <w:right w:w="57" w:type="dxa"/>
            </w:tcMar>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按照期末考试参考答案与评分标准执行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H Y a 6 g j">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OWJmNDlhYjZlOTMyNTE2MmFhNTc2MzZjNmE1NjAifQ=="/>
  </w:docVars>
  <w:rsids>
    <w:rsidRoot w:val="007C37A8"/>
    <w:rsid w:val="00132FCD"/>
    <w:rsid w:val="00353183"/>
    <w:rsid w:val="00556D37"/>
    <w:rsid w:val="005961C1"/>
    <w:rsid w:val="005E49FD"/>
    <w:rsid w:val="007C37A8"/>
    <w:rsid w:val="00DC092C"/>
    <w:rsid w:val="01BA0D39"/>
    <w:rsid w:val="03941FF6"/>
    <w:rsid w:val="06610E02"/>
    <w:rsid w:val="09A24B34"/>
    <w:rsid w:val="0C802428"/>
    <w:rsid w:val="14F03B49"/>
    <w:rsid w:val="1DDD6375"/>
    <w:rsid w:val="22794E1A"/>
    <w:rsid w:val="227D69C5"/>
    <w:rsid w:val="273179BB"/>
    <w:rsid w:val="2751016E"/>
    <w:rsid w:val="2A6426CE"/>
    <w:rsid w:val="2EDB186B"/>
    <w:rsid w:val="30705176"/>
    <w:rsid w:val="35AD5109"/>
    <w:rsid w:val="377372A3"/>
    <w:rsid w:val="38C20B2E"/>
    <w:rsid w:val="3D32193F"/>
    <w:rsid w:val="3D3C41E9"/>
    <w:rsid w:val="488511DC"/>
    <w:rsid w:val="488829D0"/>
    <w:rsid w:val="493B1763"/>
    <w:rsid w:val="4947254F"/>
    <w:rsid w:val="4ABB209C"/>
    <w:rsid w:val="4AC51906"/>
    <w:rsid w:val="4B9F101C"/>
    <w:rsid w:val="4EE47CF8"/>
    <w:rsid w:val="4F8905E1"/>
    <w:rsid w:val="51EA20C4"/>
    <w:rsid w:val="5AC840F2"/>
    <w:rsid w:val="5DCB07EC"/>
    <w:rsid w:val="67CC6DC1"/>
    <w:rsid w:val="69791B5E"/>
    <w:rsid w:val="6AF64DD7"/>
    <w:rsid w:val="6B2923C8"/>
    <w:rsid w:val="70CD7848"/>
    <w:rsid w:val="712233EC"/>
    <w:rsid w:val="7CEB0964"/>
    <w:rsid w:val="7D407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eastAsia="宋体" w:cs="Times New Roman"/>
      <w:szCs w:val="24"/>
    </w:rPr>
  </w:style>
  <w:style w:type="paragraph" w:styleId="3">
    <w:name w:val="footer"/>
    <w:basedOn w:val="1"/>
    <w:link w:val="16"/>
    <w:uiPriority w:val="0"/>
    <w:pPr>
      <w:tabs>
        <w:tab w:val="center" w:pos="4153"/>
        <w:tab w:val="right" w:pos="8306"/>
      </w:tabs>
      <w:snapToGrid w:val="0"/>
      <w:jc w:val="left"/>
    </w:pPr>
    <w:rPr>
      <w:sz w:val="18"/>
      <w:szCs w:val="18"/>
    </w:rPr>
  </w:style>
  <w:style w:type="paragraph" w:styleId="4">
    <w:name w:val="header"/>
    <w:basedOn w:val="1"/>
    <w:link w:val="15"/>
    <w:uiPriority w:val="0"/>
    <w:pPr>
      <w:tabs>
        <w:tab w:val="center" w:pos="4153"/>
        <w:tab w:val="right" w:pos="8306"/>
      </w:tabs>
      <w:snapToGrid w:val="0"/>
      <w:jc w:val="center"/>
    </w:pPr>
    <w:rPr>
      <w:sz w:val="18"/>
      <w:szCs w:val="18"/>
    </w:rPr>
  </w:style>
  <w:style w:type="paragraph" w:styleId="5">
    <w:name w:val="HTML Preformatted"/>
    <w:basedOn w:val="1"/>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alibri" w:eastAsia="宋体" w:cs="Times New Roman"/>
      <w:kern w:val="0"/>
      <w:sz w:val="24"/>
      <w:szCs w:val="20"/>
    </w:rPr>
  </w:style>
  <w:style w:type="character" w:styleId="8">
    <w:name w:val="Hyperlink"/>
    <w:autoRedefine/>
    <w:qFormat/>
    <w:uiPriority w:val="99"/>
    <w:rPr>
      <w:color w:val="0000FF"/>
      <w:u w:val="none"/>
    </w:rPr>
  </w:style>
  <w:style w:type="paragraph" w:customStyle="1" w:styleId="9">
    <w:name w:val="Default"/>
    <w:autoRedefine/>
    <w:qFormat/>
    <w:uiPriority w:val="0"/>
    <w:pPr>
      <w:widowControl w:val="0"/>
      <w:autoSpaceDE w:val="0"/>
      <w:autoSpaceDN w:val="0"/>
      <w:adjustRightInd w:val="0"/>
    </w:pPr>
    <w:rPr>
      <w:rFonts w:ascii="黑体" w:hAnsi="Calibri" w:eastAsia="黑体" w:cs="黑体"/>
      <w:color w:val="000000"/>
      <w:kern w:val="2"/>
      <w:sz w:val="24"/>
      <w:szCs w:val="24"/>
      <w:lang w:val="en-US" w:eastAsia="zh-CN" w:bidi="ar-SA"/>
    </w:rPr>
  </w:style>
  <w:style w:type="paragraph" w:customStyle="1" w:styleId="10">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1">
    <w:name w:val="3小标题"/>
    <w:basedOn w:val="9"/>
    <w:autoRedefine/>
    <w:qFormat/>
    <w:uiPriority w:val="0"/>
    <w:pPr>
      <w:spacing w:line="360" w:lineRule="auto"/>
      <w:ind w:firstLine="482" w:firstLineChars="200"/>
    </w:pPr>
    <w:rPr>
      <w:rFonts w:ascii="宋体" w:hAnsi="宋体" w:eastAsia="宋体"/>
      <w:b/>
      <w:bCs/>
    </w:rPr>
  </w:style>
  <w:style w:type="paragraph" w:styleId="12">
    <w:name w:val="List Paragraph"/>
    <w:basedOn w:val="1"/>
    <w:autoRedefine/>
    <w:qFormat/>
    <w:uiPriority w:val="99"/>
    <w:pPr>
      <w:ind w:firstLine="420" w:firstLineChars="200"/>
    </w:pPr>
    <w:rPr>
      <w:rFonts w:ascii="Calibri" w:hAnsi="Calibri" w:eastAsia="宋体" w:cs="Calibri"/>
      <w:szCs w:val="21"/>
    </w:rPr>
  </w:style>
  <w:style w:type="paragraph" w:customStyle="1" w:styleId="13">
    <w:name w:val="！表格首行"/>
    <w:basedOn w:val="1"/>
    <w:autoRedefine/>
    <w:qFormat/>
    <w:uiPriority w:val="99"/>
    <w:pPr>
      <w:jc w:val="center"/>
    </w:pPr>
    <w:rPr>
      <w:rFonts w:ascii="宋体" w:hAnsi="宋体" w:eastAsia="宋体" w:cs="Times New Roman"/>
      <w:b/>
      <w:kern w:val="0"/>
      <w:sz w:val="20"/>
      <w:szCs w:val="20"/>
    </w:rPr>
  </w:style>
  <w:style w:type="paragraph" w:customStyle="1" w:styleId="14">
    <w:name w:val="！表格正文"/>
    <w:basedOn w:val="1"/>
    <w:autoRedefine/>
    <w:qFormat/>
    <w:uiPriority w:val="99"/>
    <w:pPr>
      <w:spacing w:line="288" w:lineRule="auto"/>
      <w:jc w:val="left"/>
    </w:pPr>
    <w:rPr>
      <w:rFonts w:ascii="宋体" w:hAnsi="宋体" w:eastAsia="宋体" w:cs="Times New Roman"/>
      <w:szCs w:val="21"/>
    </w:rPr>
  </w:style>
  <w:style w:type="character" w:customStyle="1" w:styleId="15">
    <w:name w:val="页眉 字符"/>
    <w:basedOn w:val="7"/>
    <w:link w:val="4"/>
    <w:uiPriority w:val="0"/>
    <w:rPr>
      <w:rFonts w:asciiTheme="minorHAnsi" w:hAnsiTheme="minorHAnsi" w:eastAsiaTheme="minorEastAsia" w:cstheme="minorBidi"/>
      <w:kern w:val="2"/>
      <w:sz w:val="18"/>
      <w:szCs w:val="18"/>
    </w:rPr>
  </w:style>
  <w:style w:type="character" w:customStyle="1" w:styleId="16">
    <w:name w:val="页脚 字符"/>
    <w:basedOn w:val="7"/>
    <w:link w:val="3"/>
    <w:uiPriority w:val="0"/>
    <w:rPr>
      <w:rFonts w:asciiTheme="minorHAnsi" w:hAnsiTheme="minorHAnsi" w:eastAsiaTheme="minorEastAsia" w:cstheme="minorBidi"/>
      <w:kern w:val="2"/>
      <w:sz w:val="18"/>
      <w:szCs w:val="18"/>
    </w:rPr>
  </w:style>
  <w:style w:type="character" w:customStyle="1" w:styleId="17">
    <w:name w:val="fontstyle01"/>
    <w:basedOn w:val="7"/>
    <w:uiPriority w:val="0"/>
    <w:rPr>
      <w:rFonts w:hint="default" w:ascii="TimesNewRomanPSMT" w:hAnsi="TimesNewRomanPSMT"/>
      <w:color w:val="000000"/>
      <w:sz w:val="22"/>
      <w:szCs w:val="22"/>
    </w:rPr>
  </w:style>
  <w:style w:type="character" w:customStyle="1" w:styleId="18">
    <w:name w:val="fontstyle21"/>
    <w:basedOn w:val="7"/>
    <w:uiPriority w:val="0"/>
    <w:rPr>
      <w:rFonts w:hint="default" w:ascii="H Y a 6 g j" w:hAnsi="H Y a 6 g j"/>
      <w:color w:val="000000"/>
      <w:sz w:val="22"/>
      <w:szCs w:val="22"/>
    </w:rPr>
  </w:style>
  <w:style w:type="character" w:customStyle="1" w:styleId="19">
    <w:name w:val="fontstyle11"/>
    <w:basedOn w:val="7"/>
    <w:uiPriority w:val="0"/>
    <w:rPr>
      <w:rFonts w:hint="default" w:ascii="H Y a 6 g j" w:hAnsi="H Y a 6 g j"/>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elations xmlns="http://www.yonyou.com/relation"/>
</file>

<file path=customXml/item2.xml><?xml version="1.0" encoding="utf-8"?>
<formulas xmlns="http://www.yonyou.com/formula"/>
</file>

<file path=customXml/item3.xml><?xml version="1.0" encoding="utf-8"?>
<dataSourceCollection xmlns="http://www.yonyou.com/datasource"/>
</file>

<file path=customXml/itemProps1.xml><?xml version="1.0" encoding="utf-8"?>
<ds:datastoreItem xmlns:ds="http://schemas.openxmlformats.org/officeDocument/2006/customXml" ds:itemID="{53DBF0CB-9650-46C7-9D17-5B9331814F7A}">
  <ds:schemaRefs/>
</ds:datastoreItem>
</file>

<file path=customXml/itemProps2.xml><?xml version="1.0" encoding="utf-8"?>
<ds:datastoreItem xmlns:ds="http://schemas.openxmlformats.org/officeDocument/2006/customXml" ds:itemID="{BCE014BB-5AB0-4A0B-ABC6-D3897019446D}">
  <ds:schemaRefs/>
</ds:datastoreItem>
</file>

<file path=customXml/itemProps3.xml><?xml version="1.0" encoding="utf-8"?>
<ds:datastoreItem xmlns:ds="http://schemas.openxmlformats.org/officeDocument/2006/customXml" ds:itemID="{BA8C4B7A-703F-4C70-B3E8-45E22E242937}">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10</Pages>
  <Words>1238</Words>
  <Characters>7057</Characters>
  <Lines>58</Lines>
  <Paragraphs>16</Paragraphs>
  <TotalTime>10</TotalTime>
  <ScaleCrop>false</ScaleCrop>
  <LinksUpToDate>false</LinksUpToDate>
  <CharactersWithSpaces>8279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朱品伟</cp:lastModifiedBy>
  <dcterms:modified xsi:type="dcterms:W3CDTF">2024-04-29T12:51:38Z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6EC1663C918C49C7B5153959D8DC572E_12</vt:lpwstr>
  </property>
</Properties>
</file>